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58E" w14:textId="00540438" w:rsidR="00946F9C" w:rsidRPr="00946F9C" w:rsidRDefault="00946F9C" w:rsidP="00946F9C">
      <w:pPr>
        <w:pBdr>
          <w:top w:val="nil"/>
          <w:left w:val="nil"/>
          <w:bottom w:val="nil"/>
          <w:right w:val="nil"/>
          <w:between w:val="nil"/>
        </w:pBdr>
        <w:spacing w:before="1"/>
        <w:rPr>
          <w:rFonts w:ascii="Verdana" w:eastAsia="Tahoma" w:hAnsi="Verdana" w:cs="Tahoma"/>
          <w:b/>
          <w:color w:val="000000"/>
          <w:sz w:val="18"/>
          <w:szCs w:val="18"/>
        </w:rPr>
      </w:pPr>
      <w:r>
        <w:rPr>
          <w:noProof/>
        </w:rPr>
        <mc:AlternateContent>
          <mc:Choice Requires="wps">
            <w:drawing>
              <wp:anchor distT="0" distB="0" distL="114300" distR="114300" simplePos="0" relativeHeight="251663360" behindDoc="0" locked="0" layoutInCell="1" allowOverlap="1" wp14:anchorId="323290EA" wp14:editId="58EE402B">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10031C" w14:textId="1501F437" w:rsidR="00946F9C" w:rsidRPr="00254174" w:rsidRDefault="00946F9C" w:rsidP="00F51E9A">
                            <w:pPr>
                              <w:pStyle w:val="Heading2"/>
                              <w:numPr>
                                <w:ilvl w:val="0"/>
                                <w:numId w:val="0"/>
                              </w:numPr>
                              <w:jc w:val="center"/>
                            </w:pPr>
                            <w:r w:rsidRPr="00254174">
                              <w:t>All users of consumer reports must comply with all applicable regulations. Information about applicable</w:t>
                            </w:r>
                            <w:r w:rsidR="00F51E9A">
                              <w:t xml:space="preserve"> </w:t>
                            </w:r>
                            <w:r w:rsidRPr="00254174">
                              <w:t xml:space="preserve">regulations currently in effect can be found at the Consumer Financial Protection Bureau’s website, </w:t>
                            </w:r>
                            <w:hyperlink r:id="rId8">
                              <w:r w:rsidRPr="00254174">
                                <w:rPr>
                                  <w:color w:val="0000FF"/>
                                </w:rPr>
                                <w:t>www.consumerfinance.gov/learnmore</w:t>
                              </w:r>
                            </w:hyperlink>
                            <w:hyperlink r:id="rId9">
                              <w:r w:rsidRPr="00254174">
                                <w:t>.</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3290EA" id="_x0000_t202" coordsize="21600,21600" o:spt="202" path="m,l,21600r21600,l21600,xe">
                <v:stroke joinstyle="miter"/>
                <v:path gradientshapeok="t" o:connecttype="rect"/>
              </v:shapetype>
              <v:shape id="Text Box 3"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G3cVME6AgAAeAQAAA4AAAAAAAAAAAAAAAAA&#10;LgIAAGRycy9lMm9Eb2MueG1sUEsBAi0AFAAGAAgAAAAhALcMAwjXAAAABQEAAA8AAAAAAAAAAAAA&#10;AAAAlAQAAGRycy9kb3ducmV2LnhtbFBLBQYAAAAABAAEAPMAAACYBQAAAAA=&#10;" filled="f" strokeweight=".5pt">
                <v:textbox style="mso-fit-shape-to-text:t">
                  <w:txbxContent>
                    <w:p w14:paraId="0B10031C" w14:textId="1501F437" w:rsidR="00946F9C" w:rsidRPr="00254174" w:rsidRDefault="00946F9C" w:rsidP="00F51E9A">
                      <w:pPr>
                        <w:pStyle w:val="Heading2"/>
                        <w:numPr>
                          <w:ilvl w:val="0"/>
                          <w:numId w:val="0"/>
                        </w:numPr>
                        <w:jc w:val="center"/>
                      </w:pPr>
                      <w:r w:rsidRPr="00254174">
                        <w:t>All users of consumer reports must comply with all applicable regulations. Information about applicable</w:t>
                      </w:r>
                      <w:r w:rsidR="00F51E9A">
                        <w:t xml:space="preserve"> </w:t>
                      </w:r>
                      <w:r w:rsidRPr="00254174">
                        <w:t xml:space="preserve">regulations currently in effect can be found at the Consumer Financial Protection Bureau’s website, </w:t>
                      </w:r>
                      <w:hyperlink r:id="rId25">
                        <w:r w:rsidRPr="00254174">
                          <w:rPr>
                            <w:color w:val="0000FF"/>
                          </w:rPr>
                          <w:t>www.consumerfinance.gov/learnmore</w:t>
                        </w:r>
                      </w:hyperlink>
                      <w:hyperlink r:id="rId26">
                        <w:r w:rsidRPr="00254174">
                          <w:t>.</w:t>
                        </w:r>
                      </w:hyperlink>
                    </w:p>
                  </w:txbxContent>
                </v:textbox>
                <w10:wrap type="square"/>
              </v:shape>
            </w:pict>
          </mc:Fallback>
        </mc:AlternateContent>
      </w:r>
    </w:p>
    <w:p w14:paraId="4231DBE7" w14:textId="77D5B8BF" w:rsidR="00946F9C" w:rsidRDefault="00946F9C" w:rsidP="00254174">
      <w:pPr>
        <w:jc w:val="center"/>
        <w:rPr>
          <w:rFonts w:ascii="Verdana" w:eastAsia="Tahoma" w:hAnsi="Verdana" w:cs="Tahoma"/>
          <w:b/>
          <w:sz w:val="18"/>
          <w:szCs w:val="18"/>
          <w:u w:val="single"/>
        </w:rPr>
      </w:pPr>
      <w:r w:rsidRPr="00254174">
        <w:rPr>
          <w:rFonts w:ascii="Verdana" w:eastAsia="Tahoma" w:hAnsi="Verdana" w:cs="Tahoma"/>
          <w:b/>
          <w:sz w:val="18"/>
          <w:szCs w:val="18"/>
          <w:u w:val="single"/>
        </w:rPr>
        <w:t>NOTICE TO USERS OF CONSUMER REPORTS: OBLIGATIONS OF USERS UNDER THE FCRA</w:t>
      </w:r>
    </w:p>
    <w:p w14:paraId="5D1D6142" w14:textId="77777777" w:rsidR="00D26375" w:rsidRPr="00254174" w:rsidRDefault="00D26375" w:rsidP="00254174">
      <w:pPr>
        <w:jc w:val="center"/>
        <w:rPr>
          <w:rFonts w:ascii="Verdana" w:eastAsia="Tahoma" w:hAnsi="Verdana" w:cs="Tahoma"/>
          <w:b/>
          <w:sz w:val="18"/>
          <w:szCs w:val="18"/>
          <w:u w:val="single"/>
        </w:rPr>
      </w:pPr>
    </w:p>
    <w:p w14:paraId="31485048" w14:textId="77777777" w:rsidR="00946F9C" w:rsidRPr="00946F9C" w:rsidRDefault="00946F9C" w:rsidP="00946F9C">
      <w:pPr>
        <w:pBdr>
          <w:top w:val="nil"/>
          <w:left w:val="nil"/>
          <w:bottom w:val="nil"/>
          <w:right w:val="nil"/>
          <w:between w:val="nil"/>
        </w:pBdr>
        <w:spacing w:before="1"/>
        <w:rPr>
          <w:rFonts w:ascii="Verdana" w:eastAsia="Tahoma" w:hAnsi="Verdana" w:cs="Tahoma"/>
          <w:color w:val="000000"/>
          <w:sz w:val="18"/>
          <w:szCs w:val="18"/>
        </w:rPr>
      </w:pPr>
      <w:r w:rsidRPr="00946F9C">
        <w:rPr>
          <w:rFonts w:ascii="Verdana" w:eastAsia="Tahoma" w:hAnsi="Verdana" w:cs="Tahoma"/>
          <w:color w:val="000000"/>
          <w:sz w:val="18"/>
          <w:szCs w:val="18"/>
        </w:rPr>
        <w:t xml:space="preserve">The Fair Credit Reporting Act (FCRA), 15 U.S.C. §1681-1681y, requires that this notice be provided to inform users of consumer reports of their legal obligations. State law may impose additional requirements. The text of the FCRA is set forth in full at the Bureau of Consumer Financial Protection’s website at </w:t>
      </w:r>
      <w:hyperlink r:id="rId27">
        <w:r w:rsidRPr="00946F9C">
          <w:rPr>
            <w:rFonts w:ascii="Verdana" w:eastAsia="Tahoma" w:hAnsi="Verdana" w:cs="Tahoma"/>
            <w:color w:val="0000FF"/>
            <w:sz w:val="18"/>
            <w:szCs w:val="18"/>
          </w:rPr>
          <w:t>www.consumerfinance.gov/learnmore</w:t>
        </w:r>
      </w:hyperlink>
      <w:hyperlink r:id="rId28">
        <w:r w:rsidRPr="00946F9C">
          <w:rPr>
            <w:rFonts w:ascii="Verdana" w:eastAsia="Tahoma" w:hAnsi="Verdana" w:cs="Tahoma"/>
            <w:color w:val="000000"/>
            <w:sz w:val="18"/>
            <w:szCs w:val="18"/>
          </w:rPr>
          <w:t>.</w:t>
        </w:r>
      </w:hyperlink>
    </w:p>
    <w:p w14:paraId="01F689E4" w14:textId="77777777" w:rsidR="00D26375" w:rsidRDefault="00D26375" w:rsidP="00946F9C">
      <w:pPr>
        <w:spacing w:before="1"/>
        <w:rPr>
          <w:rFonts w:ascii="Verdana" w:eastAsia="Tahoma" w:hAnsi="Verdana" w:cs="Tahoma"/>
          <w:sz w:val="18"/>
          <w:szCs w:val="18"/>
        </w:rPr>
      </w:pPr>
    </w:p>
    <w:p w14:paraId="3E3CB4AC" w14:textId="4B291424" w:rsidR="00946F9C" w:rsidRPr="00946F9C" w:rsidRDefault="00946F9C" w:rsidP="00946F9C">
      <w:pPr>
        <w:spacing w:before="1"/>
        <w:rPr>
          <w:rFonts w:ascii="Verdana" w:eastAsia="Tahoma" w:hAnsi="Verdana" w:cs="Tahoma"/>
          <w:b/>
          <w:sz w:val="18"/>
          <w:szCs w:val="18"/>
        </w:rPr>
      </w:pPr>
      <w:r w:rsidRPr="00946F9C">
        <w:rPr>
          <w:rFonts w:ascii="Verdana" w:eastAsia="Tahoma" w:hAnsi="Verdana" w:cs="Tahoma"/>
          <w:sz w:val="18"/>
          <w:szCs w:val="18"/>
        </w:rPr>
        <w:t xml:space="preserve">At the end of this document is a list of United States Code citations for the FCRA. Other information about user duties is also available at the Bureau’s website. </w:t>
      </w:r>
      <w:r w:rsidRPr="00946F9C">
        <w:rPr>
          <w:rFonts w:ascii="Verdana" w:eastAsia="Tahoma" w:hAnsi="Verdana" w:cs="Tahoma"/>
          <w:b/>
          <w:sz w:val="18"/>
          <w:szCs w:val="18"/>
        </w:rPr>
        <w:t>Users must consult the relevant provisions of the FCRA for details about their obligations under the FCRA.</w:t>
      </w:r>
    </w:p>
    <w:p w14:paraId="32F24E38" w14:textId="77777777" w:rsidR="00D26375" w:rsidRDefault="00D26375" w:rsidP="00946F9C">
      <w:pPr>
        <w:pBdr>
          <w:top w:val="nil"/>
          <w:left w:val="nil"/>
          <w:bottom w:val="nil"/>
          <w:right w:val="nil"/>
          <w:between w:val="nil"/>
        </w:pBdr>
        <w:rPr>
          <w:rFonts w:ascii="Verdana" w:eastAsia="Tahoma" w:hAnsi="Verdana" w:cs="Tahoma"/>
          <w:color w:val="000000"/>
          <w:sz w:val="18"/>
          <w:szCs w:val="18"/>
        </w:rPr>
      </w:pPr>
    </w:p>
    <w:p w14:paraId="2B1BDC1B" w14:textId="3D2D89EC" w:rsidR="00946F9C" w:rsidRDefault="00946F9C" w:rsidP="00946F9C">
      <w:pPr>
        <w:pBdr>
          <w:top w:val="nil"/>
          <w:left w:val="nil"/>
          <w:bottom w:val="nil"/>
          <w:right w:val="nil"/>
          <w:between w:val="nil"/>
        </w:pBdr>
        <w:rPr>
          <w:rFonts w:ascii="Verdana" w:eastAsia="Tahoma" w:hAnsi="Verdana" w:cs="Tahoma"/>
          <w:color w:val="000000"/>
          <w:sz w:val="18"/>
          <w:szCs w:val="18"/>
        </w:rPr>
      </w:pPr>
      <w:r w:rsidRPr="00946F9C">
        <w:rPr>
          <w:rFonts w:ascii="Verdana" w:eastAsia="Tahoma" w:hAnsi="Verdana" w:cs="Tahoma"/>
          <w:color w:val="000000"/>
          <w:sz w:val="18"/>
          <w:szCs w:val="18"/>
        </w:rPr>
        <w:t>The first section of this summary sets forth the responsibilities imposed by the FCRA on all users of consumer reports. The subsequent sections discuss the duties of users of reports that contain specific types of information, or that are used for certain purposes, and the legal consequences of violations. If you are a furnisher of information to a consumer reporting agency (CRA), you have additional obligations and will receive a separate notice from the CRA describing your duties as a furnisher.</w:t>
      </w:r>
    </w:p>
    <w:p w14:paraId="1710E6D9" w14:textId="77777777" w:rsidR="00466525" w:rsidRDefault="00466525" w:rsidP="00946F9C">
      <w:pPr>
        <w:pBdr>
          <w:top w:val="nil"/>
          <w:left w:val="nil"/>
          <w:bottom w:val="nil"/>
          <w:right w:val="nil"/>
          <w:between w:val="nil"/>
        </w:pBdr>
        <w:rPr>
          <w:rFonts w:ascii="Verdana" w:eastAsia="Tahoma" w:hAnsi="Verdana" w:cs="Tahoma"/>
          <w:color w:val="000000"/>
          <w:sz w:val="18"/>
          <w:szCs w:val="18"/>
        </w:rPr>
      </w:pPr>
    </w:p>
    <w:p w14:paraId="6E842512" w14:textId="3D904A12" w:rsidR="00234CC5" w:rsidRPr="0026445F" w:rsidRDefault="00234CC5" w:rsidP="0026445F">
      <w:pPr>
        <w:pStyle w:val="Heading2"/>
      </w:pPr>
      <w:r w:rsidRPr="0026445F">
        <w:t>OBLIGATIONS OF ALL USERS OF CONSUMER REPORTS</w:t>
      </w:r>
      <w:r w:rsidRPr="0026445F">
        <w:br/>
      </w:r>
    </w:p>
    <w:p w14:paraId="0F6225C1" w14:textId="579B8BCC" w:rsidR="00234CC5" w:rsidRPr="00D30B39" w:rsidRDefault="00234CC5"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Users Must Have a Permissible Purpose</w:t>
      </w:r>
    </w:p>
    <w:p w14:paraId="2FE4091A" w14:textId="77777777" w:rsidR="00D30B39" w:rsidRDefault="00D30B39" w:rsidP="00234CC5">
      <w:pPr>
        <w:pBdr>
          <w:top w:val="nil"/>
          <w:left w:val="nil"/>
          <w:bottom w:val="nil"/>
          <w:right w:val="nil"/>
          <w:between w:val="nil"/>
        </w:pBdr>
        <w:rPr>
          <w:rFonts w:ascii="Verdana" w:eastAsia="Tahoma" w:hAnsi="Verdana" w:cs="Tahoma"/>
          <w:color w:val="000000"/>
          <w:sz w:val="18"/>
          <w:szCs w:val="18"/>
        </w:rPr>
      </w:pPr>
    </w:p>
    <w:p w14:paraId="753D368F" w14:textId="5F508AA7" w:rsidR="00234CC5" w:rsidRPr="00946F9C" w:rsidRDefault="00234CC5" w:rsidP="00234CC5">
      <w:pPr>
        <w:pBdr>
          <w:top w:val="nil"/>
          <w:left w:val="nil"/>
          <w:bottom w:val="nil"/>
          <w:right w:val="nil"/>
          <w:between w:val="nil"/>
        </w:pBdr>
        <w:rPr>
          <w:rFonts w:ascii="Verdana" w:eastAsia="Tahoma" w:hAnsi="Verdana" w:cs="Tahoma"/>
          <w:color w:val="000000"/>
          <w:sz w:val="18"/>
          <w:szCs w:val="18"/>
        </w:rPr>
      </w:pPr>
      <w:r w:rsidRPr="00946F9C">
        <w:rPr>
          <w:rFonts w:ascii="Verdana" w:eastAsia="Tahoma" w:hAnsi="Verdana" w:cs="Tahoma"/>
          <w:color w:val="000000"/>
          <w:sz w:val="18"/>
          <w:szCs w:val="18"/>
        </w:rPr>
        <w:t>Congress has limited the use of consumer reports to protect consumers’ privacy. All users must have a permissible purpose under the FCRA to obtain a consumer report. Section 604 contains a list of the permissible purposes under the law. These are:</w:t>
      </w:r>
    </w:p>
    <w:p w14:paraId="486306FB" w14:textId="77777777" w:rsidR="00234CC5" w:rsidRPr="00946F9C" w:rsidRDefault="00234CC5" w:rsidP="00234CC5">
      <w:pPr>
        <w:widowControl w:val="0"/>
        <w:numPr>
          <w:ilvl w:val="1"/>
          <w:numId w:val="4"/>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As ordered by a court or a federal grand jury subpoena. </w:t>
      </w:r>
      <w:r w:rsidRPr="00946F9C">
        <w:rPr>
          <w:rFonts w:ascii="Verdana" w:eastAsia="Tahoma" w:hAnsi="Verdana" w:cs="Tahoma"/>
          <w:color w:val="000000"/>
          <w:sz w:val="18"/>
          <w:szCs w:val="18"/>
          <w:u w:val="single"/>
        </w:rPr>
        <w:t>Section 604(a)(1)</w:t>
      </w:r>
    </w:p>
    <w:p w14:paraId="1A0FAEEA" w14:textId="77777777" w:rsidR="00234CC5" w:rsidRPr="00946F9C" w:rsidRDefault="00234CC5" w:rsidP="00234CC5">
      <w:pPr>
        <w:widowControl w:val="0"/>
        <w:numPr>
          <w:ilvl w:val="1"/>
          <w:numId w:val="4"/>
        </w:numPr>
        <w:pBdr>
          <w:top w:val="nil"/>
          <w:left w:val="nil"/>
          <w:bottom w:val="nil"/>
          <w:right w:val="nil"/>
          <w:between w:val="nil"/>
        </w:pBdr>
        <w:tabs>
          <w:tab w:val="left" w:pos="1818"/>
        </w:tabs>
        <w:spacing w:before="1" w:line="217" w:lineRule="auto"/>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As instructed by the consumer in writing. </w:t>
      </w:r>
      <w:r w:rsidRPr="00946F9C">
        <w:rPr>
          <w:rFonts w:ascii="Verdana" w:eastAsia="Tahoma" w:hAnsi="Verdana" w:cs="Tahoma"/>
          <w:color w:val="000000"/>
          <w:sz w:val="18"/>
          <w:szCs w:val="18"/>
          <w:u w:val="single"/>
        </w:rPr>
        <w:t>Section 604(a)(2)</w:t>
      </w:r>
    </w:p>
    <w:p w14:paraId="66B617C7" w14:textId="77777777" w:rsidR="00234CC5" w:rsidRPr="00254174" w:rsidRDefault="00234CC5" w:rsidP="00234CC5">
      <w:pPr>
        <w:widowControl w:val="0"/>
        <w:numPr>
          <w:ilvl w:val="1"/>
          <w:numId w:val="4"/>
        </w:numPr>
        <w:pBdr>
          <w:top w:val="nil"/>
          <w:left w:val="nil"/>
          <w:bottom w:val="nil"/>
          <w:right w:val="nil"/>
          <w:between w:val="nil"/>
        </w:pBdr>
        <w:tabs>
          <w:tab w:val="left" w:pos="1818"/>
        </w:tabs>
        <w:spacing w:before="1" w:line="217" w:lineRule="auto"/>
        <w:ind w:left="1440" w:hanging="720"/>
        <w:rPr>
          <w:rFonts w:ascii="Verdana" w:eastAsia="Tahoma" w:hAnsi="Verdana" w:cs="Tahoma"/>
          <w:color w:val="000000"/>
          <w:sz w:val="18"/>
          <w:szCs w:val="18"/>
        </w:rPr>
      </w:pPr>
      <w:r w:rsidRPr="00254174">
        <w:rPr>
          <w:rFonts w:ascii="Verdana" w:eastAsia="Tahoma" w:hAnsi="Verdana" w:cs="Tahoma"/>
          <w:color w:val="000000"/>
          <w:sz w:val="18"/>
          <w:szCs w:val="18"/>
        </w:rPr>
        <w:t>For the extension of credit as a result of an application from a consumer, or the review or collection of a</w:t>
      </w:r>
      <w:r>
        <w:rPr>
          <w:rFonts w:ascii="Verdana" w:eastAsia="Tahoma" w:hAnsi="Verdana" w:cs="Tahoma"/>
          <w:color w:val="000000"/>
          <w:sz w:val="18"/>
          <w:szCs w:val="18"/>
        </w:rPr>
        <w:t xml:space="preserve"> </w:t>
      </w:r>
      <w:r w:rsidRPr="00254174">
        <w:rPr>
          <w:rFonts w:ascii="Verdana" w:eastAsia="Tahoma" w:hAnsi="Verdana" w:cs="Tahoma"/>
          <w:color w:val="000000"/>
          <w:sz w:val="18"/>
          <w:szCs w:val="18"/>
        </w:rPr>
        <w:t xml:space="preserve">consumer’s account. </w:t>
      </w:r>
      <w:r w:rsidRPr="00254174">
        <w:rPr>
          <w:rFonts w:ascii="Verdana" w:eastAsia="Tahoma" w:hAnsi="Verdana" w:cs="Tahoma"/>
          <w:color w:val="000000"/>
          <w:sz w:val="18"/>
          <w:szCs w:val="18"/>
          <w:u w:val="single"/>
        </w:rPr>
        <w:t>Section 604(a)(3)(A</w:t>
      </w:r>
      <w:r w:rsidRPr="00254174">
        <w:rPr>
          <w:rFonts w:ascii="Verdana" w:eastAsia="Tahoma" w:hAnsi="Verdana" w:cs="Tahoma"/>
          <w:color w:val="000000"/>
          <w:sz w:val="18"/>
          <w:szCs w:val="18"/>
        </w:rPr>
        <w:t>)</w:t>
      </w:r>
    </w:p>
    <w:p w14:paraId="72BB2626" w14:textId="77777777" w:rsidR="00234CC5" w:rsidRPr="00946F9C" w:rsidRDefault="00234CC5" w:rsidP="00234CC5">
      <w:pPr>
        <w:widowControl w:val="0"/>
        <w:numPr>
          <w:ilvl w:val="1"/>
          <w:numId w:val="4"/>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For employment purposes, including hiring and promotion decisions, where the consumer has given written permission. </w:t>
      </w:r>
      <w:r w:rsidRPr="00946F9C">
        <w:rPr>
          <w:rFonts w:ascii="Verdana" w:eastAsia="Tahoma" w:hAnsi="Verdana" w:cs="Tahoma"/>
          <w:color w:val="000000"/>
          <w:sz w:val="18"/>
          <w:szCs w:val="18"/>
          <w:u w:val="single"/>
        </w:rPr>
        <w:t>Sections 604(a)(3)(B) and 604(b)</w:t>
      </w:r>
    </w:p>
    <w:p w14:paraId="10B37F7C" w14:textId="77777777" w:rsidR="00234CC5" w:rsidRPr="00946F9C" w:rsidRDefault="00234CC5" w:rsidP="00234CC5">
      <w:pPr>
        <w:widowControl w:val="0"/>
        <w:numPr>
          <w:ilvl w:val="1"/>
          <w:numId w:val="4"/>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For the underwriting of insurance as a result of an application from a consumer. </w:t>
      </w:r>
      <w:r w:rsidRPr="00946F9C">
        <w:rPr>
          <w:rFonts w:ascii="Verdana" w:eastAsia="Tahoma" w:hAnsi="Verdana" w:cs="Tahoma"/>
          <w:color w:val="000000"/>
          <w:sz w:val="18"/>
          <w:szCs w:val="18"/>
          <w:u w:val="single"/>
        </w:rPr>
        <w:t>Section 604(a)(3)(C)</w:t>
      </w:r>
    </w:p>
    <w:p w14:paraId="512E7F4E" w14:textId="77777777" w:rsidR="00234CC5" w:rsidRPr="00946F9C" w:rsidRDefault="00234CC5" w:rsidP="00234CC5">
      <w:pPr>
        <w:widowControl w:val="0"/>
        <w:numPr>
          <w:ilvl w:val="1"/>
          <w:numId w:val="4"/>
        </w:numPr>
        <w:pBdr>
          <w:top w:val="nil"/>
          <w:left w:val="nil"/>
          <w:bottom w:val="nil"/>
          <w:right w:val="nil"/>
          <w:between w:val="nil"/>
        </w:pBdr>
        <w:tabs>
          <w:tab w:val="left" w:pos="1818"/>
        </w:tabs>
        <w:spacing w:before="1"/>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When there is a legitimate business need, in connection with a business transaction that is </w:t>
      </w:r>
      <w:r w:rsidRPr="00946F9C">
        <w:rPr>
          <w:rFonts w:ascii="Verdana" w:eastAsia="Tahoma" w:hAnsi="Verdana" w:cs="Tahoma"/>
          <w:color w:val="000000"/>
          <w:sz w:val="18"/>
          <w:szCs w:val="18"/>
          <w:u w:val="single"/>
        </w:rPr>
        <w:t>initiated</w:t>
      </w:r>
      <w:r w:rsidRPr="00946F9C">
        <w:rPr>
          <w:rFonts w:ascii="Verdana" w:eastAsia="Tahoma" w:hAnsi="Verdana" w:cs="Tahoma"/>
          <w:color w:val="000000"/>
          <w:sz w:val="18"/>
          <w:szCs w:val="18"/>
        </w:rPr>
        <w:t xml:space="preserve"> by the consumer. </w:t>
      </w:r>
      <w:r w:rsidRPr="00946F9C">
        <w:rPr>
          <w:rFonts w:ascii="Verdana" w:eastAsia="Tahoma" w:hAnsi="Verdana" w:cs="Tahoma"/>
          <w:color w:val="000000"/>
          <w:sz w:val="18"/>
          <w:szCs w:val="18"/>
          <w:u w:val="single"/>
        </w:rPr>
        <w:t>Section 604(a)(3)(F)(i)</w:t>
      </w:r>
    </w:p>
    <w:p w14:paraId="7FD6A335" w14:textId="77777777" w:rsidR="00234CC5" w:rsidRPr="00254174" w:rsidRDefault="00234CC5" w:rsidP="00234CC5">
      <w:pPr>
        <w:widowControl w:val="0"/>
        <w:numPr>
          <w:ilvl w:val="1"/>
          <w:numId w:val="4"/>
        </w:numPr>
        <w:pBdr>
          <w:top w:val="nil"/>
          <w:left w:val="nil"/>
          <w:bottom w:val="nil"/>
          <w:right w:val="nil"/>
          <w:between w:val="nil"/>
        </w:pBdr>
        <w:tabs>
          <w:tab w:val="left" w:pos="1818"/>
        </w:tabs>
        <w:spacing w:before="1" w:line="217" w:lineRule="auto"/>
        <w:ind w:left="1440" w:hanging="720"/>
        <w:rPr>
          <w:rFonts w:ascii="Verdana" w:eastAsia="Tahoma" w:hAnsi="Verdana" w:cs="Tahoma"/>
          <w:color w:val="000000"/>
          <w:sz w:val="18"/>
          <w:szCs w:val="18"/>
        </w:rPr>
      </w:pPr>
      <w:r w:rsidRPr="00254174">
        <w:rPr>
          <w:rFonts w:ascii="Verdana" w:eastAsia="Tahoma" w:hAnsi="Verdana" w:cs="Tahoma"/>
          <w:color w:val="000000"/>
          <w:sz w:val="18"/>
          <w:szCs w:val="18"/>
        </w:rPr>
        <w:t>To review a consumer’s account to determine whether the consumer continues to meet the terms of the</w:t>
      </w:r>
      <w:r>
        <w:rPr>
          <w:rFonts w:ascii="Verdana" w:eastAsia="Tahoma" w:hAnsi="Verdana" w:cs="Tahoma"/>
          <w:color w:val="000000"/>
          <w:sz w:val="18"/>
          <w:szCs w:val="18"/>
        </w:rPr>
        <w:t xml:space="preserve"> </w:t>
      </w:r>
      <w:r w:rsidRPr="00254174">
        <w:rPr>
          <w:rFonts w:ascii="Verdana" w:eastAsia="Tahoma" w:hAnsi="Verdana" w:cs="Tahoma"/>
          <w:color w:val="000000"/>
          <w:sz w:val="18"/>
          <w:szCs w:val="18"/>
        </w:rPr>
        <w:t xml:space="preserve">account. </w:t>
      </w:r>
      <w:r w:rsidRPr="00254174">
        <w:rPr>
          <w:rFonts w:ascii="Verdana" w:eastAsia="Tahoma" w:hAnsi="Verdana" w:cs="Tahoma"/>
          <w:color w:val="000000"/>
          <w:sz w:val="18"/>
          <w:szCs w:val="18"/>
          <w:u w:val="single"/>
        </w:rPr>
        <w:t>Section 604(a)(3)(F)(ii)</w:t>
      </w:r>
    </w:p>
    <w:p w14:paraId="68401A38" w14:textId="77777777" w:rsidR="00234CC5" w:rsidRPr="00254174" w:rsidRDefault="00234CC5" w:rsidP="00234CC5">
      <w:pPr>
        <w:widowControl w:val="0"/>
        <w:numPr>
          <w:ilvl w:val="1"/>
          <w:numId w:val="4"/>
        </w:numPr>
        <w:pBdr>
          <w:top w:val="nil"/>
          <w:left w:val="nil"/>
          <w:bottom w:val="nil"/>
          <w:right w:val="nil"/>
          <w:between w:val="nil"/>
        </w:pBdr>
        <w:tabs>
          <w:tab w:val="left" w:pos="1818"/>
        </w:tabs>
        <w:spacing w:before="1" w:line="217" w:lineRule="auto"/>
        <w:ind w:left="1440" w:hanging="720"/>
        <w:rPr>
          <w:rFonts w:ascii="Verdana" w:eastAsia="Tahoma" w:hAnsi="Verdana" w:cs="Tahoma"/>
          <w:color w:val="000000"/>
          <w:sz w:val="18"/>
          <w:szCs w:val="18"/>
        </w:rPr>
      </w:pPr>
      <w:r w:rsidRPr="00254174">
        <w:rPr>
          <w:rFonts w:ascii="Verdana" w:eastAsia="Tahoma" w:hAnsi="Verdana" w:cs="Tahoma"/>
          <w:color w:val="000000"/>
          <w:sz w:val="18"/>
          <w:szCs w:val="18"/>
        </w:rPr>
        <w:t>To determine a consumer’s eligibility for a license or other benefit granted by a governmental</w:t>
      </w:r>
      <w:r>
        <w:rPr>
          <w:rFonts w:ascii="Verdana" w:eastAsia="Tahoma" w:hAnsi="Verdana" w:cs="Tahoma"/>
          <w:color w:val="000000"/>
          <w:sz w:val="18"/>
          <w:szCs w:val="18"/>
        </w:rPr>
        <w:t xml:space="preserve"> </w:t>
      </w:r>
      <w:r w:rsidRPr="00254174">
        <w:rPr>
          <w:rFonts w:ascii="Verdana" w:eastAsia="Tahoma" w:hAnsi="Verdana" w:cs="Tahoma"/>
          <w:color w:val="000000"/>
          <w:sz w:val="18"/>
          <w:szCs w:val="18"/>
        </w:rPr>
        <w:t xml:space="preserve">instrumentality required by law to consider an applicant’s financial responsibility or status. </w:t>
      </w:r>
      <w:r w:rsidRPr="00254174">
        <w:rPr>
          <w:rFonts w:ascii="Verdana" w:eastAsia="Tahoma" w:hAnsi="Verdana" w:cs="Tahoma"/>
          <w:color w:val="000000"/>
          <w:sz w:val="18"/>
          <w:szCs w:val="18"/>
          <w:u w:val="single"/>
        </w:rPr>
        <w:t>Section</w:t>
      </w:r>
      <w:r w:rsidRPr="00254174">
        <w:rPr>
          <w:rFonts w:ascii="Verdana" w:eastAsia="Tahoma" w:hAnsi="Verdana" w:cs="Tahoma"/>
          <w:color w:val="000000"/>
          <w:sz w:val="18"/>
          <w:szCs w:val="18"/>
        </w:rPr>
        <w:t xml:space="preserve"> </w:t>
      </w:r>
      <w:r w:rsidRPr="00254174">
        <w:rPr>
          <w:rFonts w:ascii="Verdana" w:eastAsia="Tahoma" w:hAnsi="Verdana" w:cs="Tahoma"/>
          <w:color w:val="000000"/>
          <w:sz w:val="18"/>
          <w:szCs w:val="18"/>
          <w:u w:val="single"/>
        </w:rPr>
        <w:t>604(a)(3)(D</w:t>
      </w:r>
      <w:r w:rsidRPr="00254174">
        <w:rPr>
          <w:rFonts w:ascii="Verdana" w:eastAsia="Tahoma" w:hAnsi="Verdana" w:cs="Tahoma"/>
          <w:color w:val="000000"/>
          <w:sz w:val="18"/>
          <w:szCs w:val="18"/>
        </w:rPr>
        <w:t>)</w:t>
      </w:r>
    </w:p>
    <w:p w14:paraId="7E3ABAD2" w14:textId="77777777" w:rsidR="00234CC5" w:rsidRPr="00946F9C" w:rsidRDefault="00234CC5" w:rsidP="00234CC5">
      <w:pPr>
        <w:widowControl w:val="0"/>
        <w:numPr>
          <w:ilvl w:val="1"/>
          <w:numId w:val="4"/>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For use by a potential investor or servicer, or current insurer, in a valuation or assessment of the credit or prepayment risks associated with an existing credit obligation. </w:t>
      </w:r>
      <w:r w:rsidRPr="00946F9C">
        <w:rPr>
          <w:rFonts w:ascii="Verdana" w:eastAsia="Tahoma" w:hAnsi="Verdana" w:cs="Tahoma"/>
          <w:color w:val="000000"/>
          <w:sz w:val="18"/>
          <w:szCs w:val="18"/>
          <w:u w:val="single"/>
        </w:rPr>
        <w:t>Section 604(a)(3)(E)</w:t>
      </w:r>
    </w:p>
    <w:p w14:paraId="2E1DFA62" w14:textId="77777777" w:rsidR="00234CC5" w:rsidRPr="00946F9C" w:rsidRDefault="00234CC5" w:rsidP="00234CC5">
      <w:pPr>
        <w:widowControl w:val="0"/>
        <w:numPr>
          <w:ilvl w:val="1"/>
          <w:numId w:val="4"/>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 xml:space="preserve">For use by state and local officials in connection with the determination of child support payments, or modifications and enforcement thereof. </w:t>
      </w:r>
      <w:r w:rsidRPr="00946F9C">
        <w:rPr>
          <w:rFonts w:ascii="Verdana" w:eastAsia="Tahoma" w:hAnsi="Verdana" w:cs="Tahoma"/>
          <w:color w:val="000000"/>
          <w:sz w:val="18"/>
          <w:szCs w:val="18"/>
          <w:u w:val="single"/>
        </w:rPr>
        <w:t>Sections 604(a)(4) and 604(a)(5)</w:t>
      </w:r>
    </w:p>
    <w:p w14:paraId="4F1B5140" w14:textId="0D0F1153" w:rsidR="00234CC5" w:rsidRDefault="00234CC5" w:rsidP="00234CC5">
      <w:pPr>
        <w:pBdr>
          <w:top w:val="nil"/>
          <w:left w:val="nil"/>
          <w:bottom w:val="nil"/>
          <w:right w:val="nil"/>
          <w:between w:val="nil"/>
        </w:pBdr>
        <w:spacing w:before="1"/>
        <w:jc w:val="both"/>
        <w:rPr>
          <w:rFonts w:ascii="Verdana" w:eastAsia="Tahoma" w:hAnsi="Verdana" w:cs="Tahoma"/>
          <w:color w:val="000000"/>
          <w:sz w:val="18"/>
          <w:szCs w:val="18"/>
        </w:rPr>
      </w:pPr>
      <w:r>
        <w:rPr>
          <w:rFonts w:ascii="Verdana" w:eastAsia="Tahoma" w:hAnsi="Verdana" w:cs="Tahoma"/>
          <w:color w:val="000000"/>
          <w:sz w:val="18"/>
          <w:szCs w:val="18"/>
        </w:rPr>
        <w:br/>
      </w:r>
      <w:r w:rsidRPr="00946F9C">
        <w:rPr>
          <w:rFonts w:ascii="Verdana" w:eastAsia="Tahoma" w:hAnsi="Verdana" w:cs="Tahoma"/>
          <w:color w:val="000000"/>
          <w:sz w:val="18"/>
          <w:szCs w:val="18"/>
        </w:rPr>
        <w:t xml:space="preserve">In addition, creditors and insurers may obtain certain consumer report information for the purpose of making “prescreened” unsolicited offers of credit or insurance. </w:t>
      </w:r>
      <w:r w:rsidRPr="00254174">
        <w:rPr>
          <w:rFonts w:ascii="Verdana" w:eastAsia="Tahoma" w:hAnsi="Verdana" w:cs="Tahoma"/>
          <w:color w:val="000000"/>
          <w:sz w:val="18"/>
          <w:szCs w:val="18"/>
          <w:u w:val="single"/>
        </w:rPr>
        <w:t>Section 604(c)</w:t>
      </w:r>
      <w:r w:rsidRPr="00946F9C">
        <w:rPr>
          <w:rFonts w:ascii="Verdana" w:eastAsia="Tahoma" w:hAnsi="Verdana" w:cs="Tahoma"/>
          <w:color w:val="000000"/>
          <w:sz w:val="18"/>
          <w:szCs w:val="18"/>
        </w:rPr>
        <w:t>. The particular obligations of users of “prescreened” information are described in Section VII below.</w:t>
      </w:r>
    </w:p>
    <w:p w14:paraId="16184C23" w14:textId="77777777" w:rsidR="00466525" w:rsidRDefault="00466525" w:rsidP="00234CC5">
      <w:pPr>
        <w:pBdr>
          <w:top w:val="nil"/>
          <w:left w:val="nil"/>
          <w:bottom w:val="nil"/>
          <w:right w:val="nil"/>
          <w:between w:val="nil"/>
        </w:pBdr>
        <w:spacing w:before="1"/>
        <w:jc w:val="both"/>
        <w:rPr>
          <w:rFonts w:ascii="Verdana" w:eastAsia="Tahoma" w:hAnsi="Verdana" w:cs="Tahoma"/>
          <w:color w:val="000000"/>
          <w:sz w:val="18"/>
          <w:szCs w:val="18"/>
        </w:rPr>
      </w:pPr>
    </w:p>
    <w:p w14:paraId="22EDA73C" w14:textId="309542F4" w:rsidR="00234CC5" w:rsidRDefault="00234CC5"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Users Must Provide Certifications</w:t>
      </w:r>
    </w:p>
    <w:p w14:paraId="69366A79" w14:textId="77777777" w:rsidR="00D30B39" w:rsidRPr="00D30B39" w:rsidRDefault="00D30B39" w:rsidP="00D30B39">
      <w:pPr>
        <w:pStyle w:val="ListParagraph"/>
        <w:rPr>
          <w:rFonts w:ascii="Verdana" w:hAnsi="Verdana"/>
          <w:b/>
          <w:bCs/>
          <w:sz w:val="18"/>
          <w:szCs w:val="18"/>
          <w:u w:val="single"/>
        </w:rPr>
      </w:pPr>
    </w:p>
    <w:p w14:paraId="7D4BCE50" w14:textId="7E74CA93" w:rsidR="00234CC5" w:rsidRDefault="00234CC5" w:rsidP="00234CC5">
      <w:pPr>
        <w:rPr>
          <w:rFonts w:ascii="Verdana" w:eastAsia="Tahoma" w:hAnsi="Verdana" w:cs="Tahoma"/>
          <w:color w:val="000000"/>
          <w:sz w:val="18"/>
          <w:szCs w:val="18"/>
        </w:rPr>
      </w:pPr>
      <w:r w:rsidRPr="00946F9C">
        <w:rPr>
          <w:rFonts w:ascii="Verdana" w:eastAsia="Tahoma" w:hAnsi="Verdana" w:cs="Tahoma"/>
          <w:color w:val="000000"/>
          <w:sz w:val="18"/>
          <w:szCs w:val="18"/>
        </w:rPr>
        <w:t>Section 604(f) prohibits any person from obtaining a consumer report from a consumer reporting agency (CRA) unless the person has certified to the CRA the permissible purpose(s) for which the report is being obtained and certifies that the report will not be used for any other purpose.</w:t>
      </w:r>
    </w:p>
    <w:p w14:paraId="618C6EFF" w14:textId="77777777" w:rsidR="00466525" w:rsidRPr="00D30B39" w:rsidRDefault="00466525" w:rsidP="00234CC5">
      <w:pPr>
        <w:rPr>
          <w:rFonts w:ascii="Verdana" w:hAnsi="Verdana"/>
          <w:b/>
          <w:bCs/>
          <w:sz w:val="18"/>
          <w:szCs w:val="18"/>
        </w:rPr>
      </w:pPr>
    </w:p>
    <w:p w14:paraId="4432C360" w14:textId="59A96DA7" w:rsidR="00234CC5" w:rsidRPr="00D30B39" w:rsidRDefault="00234CC5"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Users Must Notify Consumers When Adverse Actions Are Taken</w:t>
      </w:r>
    </w:p>
    <w:p w14:paraId="793E76D6" w14:textId="77777777" w:rsidR="00D30B39" w:rsidRDefault="00D30B39" w:rsidP="0026445F">
      <w:pPr>
        <w:rPr>
          <w:rFonts w:ascii="Verdana" w:eastAsia="Tahoma" w:hAnsi="Verdana" w:cs="Tahoma"/>
          <w:color w:val="000000"/>
          <w:sz w:val="18"/>
          <w:szCs w:val="18"/>
        </w:rPr>
      </w:pPr>
    </w:p>
    <w:p w14:paraId="7F30DFAF" w14:textId="03AC04BD" w:rsidR="0026445F" w:rsidRPr="00D30B39" w:rsidRDefault="0026445F" w:rsidP="0026445F">
      <w:pPr>
        <w:rPr>
          <w:rFonts w:ascii="Verdana" w:eastAsia="Tahoma" w:hAnsi="Verdana" w:cs="Tahoma"/>
          <w:color w:val="000000"/>
          <w:sz w:val="18"/>
          <w:szCs w:val="18"/>
        </w:rPr>
      </w:pPr>
      <w:r w:rsidRPr="00946F9C">
        <w:rPr>
          <w:rFonts w:ascii="Verdana" w:eastAsia="Tahoma" w:hAnsi="Verdana" w:cs="Tahoma"/>
          <w:color w:val="000000"/>
          <w:sz w:val="18"/>
          <w:szCs w:val="18"/>
        </w:rPr>
        <w:t xml:space="preserve">The term “adverse action” is defined very broadly by Section 603. “Adverse actions” include all business, credit, and employment actions affecting consumers that can be considered to have a negative impact as defined by Section 603(k) of the FCRA – such as denying or canceling credit or insurance, or denying employment or promotion. No adverse action </w:t>
      </w:r>
      <w:r w:rsidRPr="00D30B39">
        <w:rPr>
          <w:rFonts w:ascii="Verdana" w:eastAsia="Tahoma" w:hAnsi="Verdana" w:cs="Tahoma"/>
          <w:color w:val="000000"/>
          <w:sz w:val="18"/>
          <w:szCs w:val="18"/>
        </w:rPr>
        <w:t>occurs in a credit transaction where the creditor makes a counteroffer that is accepted by the consumer.</w:t>
      </w:r>
    </w:p>
    <w:p w14:paraId="5EC27CCD" w14:textId="77777777" w:rsidR="00466525" w:rsidRPr="00D30B39" w:rsidRDefault="00466525" w:rsidP="0026445F">
      <w:pPr>
        <w:rPr>
          <w:rFonts w:ascii="Verdana" w:hAnsi="Verdana"/>
          <w:b/>
          <w:bCs/>
          <w:sz w:val="18"/>
          <w:szCs w:val="18"/>
        </w:rPr>
      </w:pPr>
    </w:p>
    <w:p w14:paraId="49E6A3C2" w14:textId="195AA8FC" w:rsidR="0026445F" w:rsidRPr="00D30B39" w:rsidRDefault="0026445F" w:rsidP="0026445F">
      <w:pPr>
        <w:pStyle w:val="ListParagraph"/>
        <w:numPr>
          <w:ilvl w:val="1"/>
          <w:numId w:val="13"/>
        </w:numPr>
        <w:rPr>
          <w:rFonts w:ascii="Verdana" w:hAnsi="Verdana"/>
          <w:b/>
          <w:bCs/>
          <w:sz w:val="18"/>
          <w:szCs w:val="18"/>
        </w:rPr>
      </w:pPr>
      <w:r w:rsidRPr="00D30B39">
        <w:rPr>
          <w:rFonts w:ascii="Verdana" w:hAnsi="Verdana"/>
          <w:b/>
          <w:bCs/>
          <w:sz w:val="18"/>
          <w:szCs w:val="18"/>
        </w:rPr>
        <w:t>Adverse Actions Based on Information Obtained From a CRA</w:t>
      </w:r>
    </w:p>
    <w:p w14:paraId="1B3F99C3" w14:textId="4C5DFED4" w:rsidR="00234CC5"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If a user takes any type of adverse action as defined by the FCRA that is based at least in part on information contained in a consumer report, Section 615(a) requires the user to notify the consumer. The notification may be done in writing, orally, or by electronic means. It must include the following:</w:t>
      </w:r>
    </w:p>
    <w:p w14:paraId="26F5F1E1" w14:textId="77777777" w:rsidR="0026445F" w:rsidRPr="00D30B39" w:rsidRDefault="0026445F" w:rsidP="0026445F">
      <w:pPr>
        <w:pStyle w:val="ListParagraph"/>
        <w:widowControl w:val="0"/>
        <w:numPr>
          <w:ilvl w:val="0"/>
          <w:numId w:val="16"/>
        </w:numPr>
        <w:pBdr>
          <w:top w:val="nil"/>
          <w:left w:val="nil"/>
          <w:bottom w:val="nil"/>
          <w:right w:val="nil"/>
          <w:between w:val="nil"/>
        </w:pBdr>
        <w:tabs>
          <w:tab w:val="left" w:pos="1818"/>
        </w:tabs>
        <w:rPr>
          <w:rFonts w:ascii="Verdana" w:eastAsia="Tahoma" w:hAnsi="Verdana" w:cs="Tahoma"/>
          <w:color w:val="000000"/>
          <w:sz w:val="18"/>
          <w:szCs w:val="18"/>
        </w:rPr>
      </w:pPr>
      <w:r w:rsidRPr="00D30B39">
        <w:rPr>
          <w:rFonts w:ascii="Verdana" w:eastAsia="Tahoma" w:hAnsi="Verdana" w:cs="Tahoma"/>
          <w:color w:val="000000"/>
          <w:sz w:val="18"/>
          <w:szCs w:val="18"/>
        </w:rPr>
        <w:t>The name, address, and telephone number of the CRA (including a toll-free telephone number, if it is a nationwide CRA) that provided the report.</w:t>
      </w:r>
    </w:p>
    <w:p w14:paraId="444CF96A" w14:textId="77777777" w:rsidR="0026445F" w:rsidRPr="00D30B39" w:rsidRDefault="0026445F" w:rsidP="0026445F">
      <w:pPr>
        <w:pStyle w:val="ListParagraph"/>
        <w:widowControl w:val="0"/>
        <w:numPr>
          <w:ilvl w:val="0"/>
          <w:numId w:val="16"/>
        </w:numPr>
        <w:pBdr>
          <w:top w:val="nil"/>
          <w:left w:val="nil"/>
          <w:bottom w:val="nil"/>
          <w:right w:val="nil"/>
          <w:between w:val="nil"/>
        </w:pBdr>
        <w:tabs>
          <w:tab w:val="left" w:pos="1818"/>
        </w:tabs>
        <w:rPr>
          <w:rFonts w:ascii="Verdana" w:eastAsia="Tahoma" w:hAnsi="Verdana" w:cs="Tahoma"/>
          <w:color w:val="000000"/>
          <w:sz w:val="18"/>
          <w:szCs w:val="18"/>
        </w:rPr>
      </w:pPr>
      <w:r w:rsidRPr="00D30B39">
        <w:rPr>
          <w:rFonts w:ascii="Verdana" w:eastAsia="Tahoma" w:hAnsi="Verdana" w:cs="Tahoma"/>
          <w:color w:val="000000"/>
          <w:sz w:val="18"/>
          <w:szCs w:val="18"/>
        </w:rPr>
        <w:t>A statement that the CRA did not make the adverse decision and is not able to explain why the decision was made.</w:t>
      </w:r>
    </w:p>
    <w:p w14:paraId="71F3A94E" w14:textId="0F8239FC" w:rsidR="0026445F" w:rsidRPr="00D30B39" w:rsidRDefault="0026445F" w:rsidP="0026445F">
      <w:pPr>
        <w:pStyle w:val="ListParagraph"/>
        <w:widowControl w:val="0"/>
        <w:numPr>
          <w:ilvl w:val="0"/>
          <w:numId w:val="16"/>
        </w:numPr>
        <w:pBdr>
          <w:top w:val="nil"/>
          <w:left w:val="nil"/>
          <w:bottom w:val="nil"/>
          <w:right w:val="nil"/>
          <w:between w:val="nil"/>
        </w:pBdr>
        <w:tabs>
          <w:tab w:val="left" w:pos="1818"/>
        </w:tabs>
        <w:rPr>
          <w:rFonts w:ascii="Verdana" w:eastAsia="Tahoma" w:hAnsi="Verdana" w:cs="Tahoma"/>
          <w:color w:val="000000"/>
          <w:sz w:val="18"/>
          <w:szCs w:val="18"/>
        </w:rPr>
      </w:pPr>
      <w:r w:rsidRPr="00D30B39">
        <w:rPr>
          <w:rFonts w:ascii="Verdana" w:eastAsia="Tahoma" w:hAnsi="Verdana" w:cs="Tahoma"/>
          <w:color w:val="000000"/>
          <w:sz w:val="18"/>
          <w:szCs w:val="18"/>
        </w:rPr>
        <w:t>A statement setting forth the consumer’s right to obtain a free disclosure of the consumer’s file from the CRA if the consumer makes a request within 60 days.</w:t>
      </w:r>
    </w:p>
    <w:p w14:paraId="4D05D9FD" w14:textId="6546E75F" w:rsidR="0026445F" w:rsidRPr="00D30B39" w:rsidRDefault="0026445F" w:rsidP="0026445F">
      <w:pPr>
        <w:pStyle w:val="ListParagraph"/>
        <w:widowControl w:val="0"/>
        <w:numPr>
          <w:ilvl w:val="0"/>
          <w:numId w:val="15"/>
        </w:numPr>
        <w:pBdr>
          <w:top w:val="nil"/>
          <w:left w:val="nil"/>
          <w:bottom w:val="nil"/>
          <w:right w:val="nil"/>
          <w:between w:val="nil"/>
        </w:pBdr>
        <w:tabs>
          <w:tab w:val="left" w:pos="1818"/>
        </w:tabs>
        <w:spacing w:before="1" w:line="217" w:lineRule="auto"/>
        <w:rPr>
          <w:rFonts w:ascii="Verdana" w:eastAsia="Tahoma" w:hAnsi="Verdana" w:cs="Tahoma"/>
          <w:color w:val="000000"/>
          <w:sz w:val="18"/>
          <w:szCs w:val="18"/>
        </w:rPr>
      </w:pPr>
      <w:r w:rsidRPr="00D30B39">
        <w:rPr>
          <w:rFonts w:ascii="Verdana" w:eastAsia="Tahoma" w:hAnsi="Verdana" w:cs="Tahoma"/>
          <w:color w:val="000000"/>
          <w:sz w:val="18"/>
          <w:szCs w:val="18"/>
        </w:rPr>
        <w:t>A statement setting forth the consumer’s right to dispute directly with the CRA the accuracy or completeness of any information provided by the CRA.</w:t>
      </w:r>
    </w:p>
    <w:p w14:paraId="6C272670" w14:textId="77777777" w:rsidR="0026445F" w:rsidRPr="00D30B39" w:rsidRDefault="0026445F" w:rsidP="0026445F">
      <w:pPr>
        <w:widowControl w:val="0"/>
        <w:pBdr>
          <w:top w:val="nil"/>
          <w:left w:val="nil"/>
          <w:bottom w:val="nil"/>
          <w:right w:val="nil"/>
          <w:between w:val="nil"/>
        </w:pBdr>
        <w:tabs>
          <w:tab w:val="left" w:pos="1818"/>
        </w:tabs>
        <w:spacing w:before="1" w:line="217" w:lineRule="auto"/>
        <w:rPr>
          <w:rFonts w:ascii="Verdana" w:eastAsia="Tahoma" w:hAnsi="Verdana" w:cs="Tahoma"/>
          <w:color w:val="000000"/>
          <w:sz w:val="18"/>
          <w:szCs w:val="18"/>
        </w:rPr>
      </w:pPr>
    </w:p>
    <w:p w14:paraId="65D49453" w14:textId="5C5DE109" w:rsidR="0026445F" w:rsidRDefault="0026445F" w:rsidP="0026445F">
      <w:pPr>
        <w:pStyle w:val="ListParagraph"/>
        <w:numPr>
          <w:ilvl w:val="1"/>
          <w:numId w:val="13"/>
        </w:numPr>
        <w:rPr>
          <w:rFonts w:ascii="Verdana" w:hAnsi="Verdana"/>
          <w:b/>
          <w:bCs/>
          <w:sz w:val="18"/>
          <w:szCs w:val="18"/>
        </w:rPr>
      </w:pPr>
      <w:r w:rsidRPr="00D30B39">
        <w:rPr>
          <w:rFonts w:ascii="Verdana" w:hAnsi="Verdana"/>
          <w:b/>
          <w:bCs/>
          <w:sz w:val="18"/>
          <w:szCs w:val="18"/>
        </w:rPr>
        <w:t>Adverse Actions Based on Information Obtained From Third Parties Who Are Not Consumer Reporting Agencies</w:t>
      </w:r>
    </w:p>
    <w:p w14:paraId="188EF9DA" w14:textId="77777777" w:rsidR="00D30B39" w:rsidRPr="00D30B39" w:rsidRDefault="00D30B39" w:rsidP="00D30B39">
      <w:pPr>
        <w:rPr>
          <w:rFonts w:ascii="Verdana" w:hAnsi="Verdana"/>
          <w:b/>
          <w:bCs/>
          <w:sz w:val="18"/>
          <w:szCs w:val="18"/>
        </w:rPr>
      </w:pPr>
    </w:p>
    <w:p w14:paraId="69C1E3F2" w14:textId="663AB443" w:rsidR="0026445F"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If a person denies (or increases the charge for) credit for personal, family, or household purposes based either wholly or partly upon information from a person other than a CRA, and the information is the type of consumer information covered by the FCRA, Section 615(b)(1) requires that the user clearly and accurately disclose to the consumer his or her right to be told the nature of the information that was relied upon if the consumer makes a written request within 60 days of notification. The user must provide the disclosure within a reasonable period of time following the consumer’s written request.</w:t>
      </w:r>
    </w:p>
    <w:p w14:paraId="75226ED7" w14:textId="77777777" w:rsidR="00466525" w:rsidRPr="00D30B39" w:rsidRDefault="00466525" w:rsidP="0026445F">
      <w:pPr>
        <w:rPr>
          <w:rFonts w:ascii="Verdana" w:eastAsia="Tahoma" w:hAnsi="Verdana" w:cs="Tahoma"/>
          <w:color w:val="000000"/>
          <w:sz w:val="18"/>
          <w:szCs w:val="18"/>
        </w:rPr>
      </w:pPr>
    </w:p>
    <w:p w14:paraId="47014697" w14:textId="5AC4A5B1" w:rsidR="0026445F" w:rsidRPr="00D30B39" w:rsidRDefault="0026445F" w:rsidP="0026445F">
      <w:pPr>
        <w:pStyle w:val="ListParagraph"/>
        <w:numPr>
          <w:ilvl w:val="1"/>
          <w:numId w:val="13"/>
        </w:numPr>
        <w:rPr>
          <w:rFonts w:ascii="Verdana" w:hAnsi="Verdana"/>
          <w:b/>
          <w:bCs/>
          <w:sz w:val="18"/>
          <w:szCs w:val="18"/>
        </w:rPr>
      </w:pPr>
      <w:r w:rsidRPr="00D30B39">
        <w:rPr>
          <w:rFonts w:ascii="Verdana" w:hAnsi="Verdana"/>
          <w:b/>
          <w:bCs/>
          <w:sz w:val="18"/>
          <w:szCs w:val="18"/>
        </w:rPr>
        <w:t>Adverse Actions Based on Information Obtained From Affiliates</w:t>
      </w:r>
    </w:p>
    <w:p w14:paraId="21B853B5" w14:textId="77777777" w:rsidR="00D30B39" w:rsidRDefault="00D30B39" w:rsidP="0026445F">
      <w:pPr>
        <w:rPr>
          <w:rFonts w:ascii="Verdana" w:eastAsia="Tahoma" w:hAnsi="Verdana" w:cs="Tahoma"/>
          <w:color w:val="000000"/>
          <w:sz w:val="18"/>
          <w:szCs w:val="18"/>
        </w:rPr>
      </w:pPr>
    </w:p>
    <w:p w14:paraId="4543AFA2" w14:textId="43F4CF0F" w:rsidR="0026445F"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If a person takes an adverse action involving insurance, employment, or a credit transaction initiated by the consumer, based on information of the type covered by the FCRA, and this information was obtained from an entity affiliated with the user of the information by common ownership or control, Section 615(b)(2) requires the user to notify the consumer of the adverse action. The notice must inform the consumer that he or she may obtain a disclosure of the nature of the information relied upon by making a written request within 60 days of receiving the adverse action notice. If the consumer makes such a request, the user must disclose the nature of the information not later than 30 days after receiving the request. If consumer report information is shared among affiliates and then used for an adverse action, the user must make an adverse action disclosure as set forth in I.C.1 above.</w:t>
      </w:r>
    </w:p>
    <w:p w14:paraId="23489EBA" w14:textId="77777777" w:rsidR="00466525" w:rsidRPr="00D30B39" w:rsidRDefault="00466525" w:rsidP="0026445F">
      <w:pPr>
        <w:rPr>
          <w:rFonts w:ascii="Verdana" w:hAnsi="Verdana"/>
          <w:b/>
          <w:bCs/>
          <w:sz w:val="18"/>
          <w:szCs w:val="18"/>
        </w:rPr>
      </w:pPr>
    </w:p>
    <w:p w14:paraId="29B2CA4D" w14:textId="2511F000" w:rsidR="0026445F" w:rsidRPr="00D30B39" w:rsidRDefault="0026445F"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 xml:space="preserve">Users Have Obligations When Fraud and </w:t>
      </w:r>
      <w:proofErr w:type="gramStart"/>
      <w:r w:rsidRPr="00D30B39">
        <w:rPr>
          <w:rFonts w:ascii="Verdana" w:hAnsi="Verdana"/>
          <w:b/>
          <w:bCs/>
          <w:sz w:val="18"/>
          <w:szCs w:val="18"/>
          <w:u w:val="single"/>
        </w:rPr>
        <w:t>Active Duty</w:t>
      </w:r>
      <w:proofErr w:type="gramEnd"/>
      <w:r w:rsidRPr="00D30B39">
        <w:rPr>
          <w:rFonts w:ascii="Verdana" w:hAnsi="Verdana"/>
          <w:b/>
          <w:bCs/>
          <w:sz w:val="18"/>
          <w:szCs w:val="18"/>
          <w:u w:val="single"/>
        </w:rPr>
        <w:t xml:space="preserve"> Military Alerts are in Files</w:t>
      </w:r>
    </w:p>
    <w:p w14:paraId="624C0826" w14:textId="77777777" w:rsidR="00D30B39" w:rsidRDefault="00D30B39" w:rsidP="0026445F">
      <w:pPr>
        <w:rPr>
          <w:rFonts w:ascii="Verdana" w:eastAsia="Tahoma" w:hAnsi="Verdana" w:cs="Tahoma"/>
          <w:color w:val="000000"/>
          <w:sz w:val="18"/>
          <w:szCs w:val="18"/>
        </w:rPr>
      </w:pPr>
    </w:p>
    <w:p w14:paraId="3C30FCBA" w14:textId="377017C1" w:rsidR="0026445F"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 xml:space="preserve">When a consumer has placed a fraud alert, including one relating to identify theft, or an </w:t>
      </w:r>
      <w:proofErr w:type="gramStart"/>
      <w:r w:rsidRPr="00D30B39">
        <w:rPr>
          <w:rFonts w:ascii="Verdana" w:eastAsia="Tahoma" w:hAnsi="Verdana" w:cs="Tahoma"/>
          <w:color w:val="000000"/>
          <w:sz w:val="18"/>
          <w:szCs w:val="18"/>
        </w:rPr>
        <w:t>active duty</w:t>
      </w:r>
      <w:proofErr w:type="gramEnd"/>
      <w:r w:rsidRPr="00D30B39">
        <w:rPr>
          <w:rFonts w:ascii="Verdana" w:eastAsia="Tahoma" w:hAnsi="Verdana" w:cs="Tahoma"/>
          <w:color w:val="000000"/>
          <w:sz w:val="18"/>
          <w:szCs w:val="18"/>
        </w:rPr>
        <w:t xml:space="preserve"> military alert with a nationwide consumer reporting agency as defined in Section 603(p) and resellers, Section 605A(h) imposes limitations on users of reports obtained from the consumer reporting agency in certain circumstances, including the establishment of a new credit plan and the issuance of additional credit cards. For initial fraud alerts and </w:t>
      </w:r>
      <w:proofErr w:type="gramStart"/>
      <w:r w:rsidRPr="00D30B39">
        <w:rPr>
          <w:rFonts w:ascii="Verdana" w:eastAsia="Tahoma" w:hAnsi="Verdana" w:cs="Tahoma"/>
          <w:color w:val="000000"/>
          <w:sz w:val="18"/>
          <w:szCs w:val="18"/>
        </w:rPr>
        <w:t>active duty</w:t>
      </w:r>
      <w:proofErr w:type="gramEnd"/>
      <w:r w:rsidRPr="00D30B39">
        <w:rPr>
          <w:rFonts w:ascii="Verdana" w:eastAsia="Tahoma" w:hAnsi="Verdana" w:cs="Tahoma"/>
          <w:color w:val="000000"/>
          <w:sz w:val="18"/>
          <w:szCs w:val="18"/>
        </w:rPr>
        <w:t xml:space="preserve"> alerts, the user must have reasonable policies and procedures in place to form a belief that the user knows the identity of the applicant or contact the consumer at a telephone number specified by the consumer; in the case of extended fraud alerts, the user must contact the consumer in accordance with the contact information provided in the consumer’s alert.</w:t>
      </w:r>
    </w:p>
    <w:p w14:paraId="31DAAC70" w14:textId="77777777" w:rsidR="00466525" w:rsidRPr="00D30B39" w:rsidRDefault="00466525" w:rsidP="0026445F">
      <w:pPr>
        <w:rPr>
          <w:rFonts w:ascii="Verdana" w:hAnsi="Verdana"/>
          <w:b/>
          <w:bCs/>
          <w:sz w:val="18"/>
          <w:szCs w:val="18"/>
        </w:rPr>
      </w:pPr>
    </w:p>
    <w:p w14:paraId="6F41336F" w14:textId="77777777" w:rsidR="0026445F" w:rsidRPr="00D30B39" w:rsidRDefault="00234CC5"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Users Have Obligations When Notified of an Address Discrepancy</w:t>
      </w:r>
    </w:p>
    <w:p w14:paraId="7CEFA6A4" w14:textId="77777777" w:rsidR="00D30B39" w:rsidRDefault="00D30B39" w:rsidP="0026445F">
      <w:pPr>
        <w:rPr>
          <w:rFonts w:ascii="Verdana" w:eastAsia="Tahoma" w:hAnsi="Verdana" w:cs="Tahoma"/>
          <w:color w:val="000000"/>
          <w:sz w:val="18"/>
          <w:szCs w:val="18"/>
        </w:rPr>
      </w:pPr>
    </w:p>
    <w:p w14:paraId="1344CC84" w14:textId="19E18D1F" w:rsidR="00234CC5"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Section 605(h) requires nationwide CRAs, as defined in Section 603(p), to notify users that request reports when the address for a consumer provided by the user in requesting the report is substantially different from the addresses in</w:t>
      </w:r>
      <w:r w:rsidR="00234CC5" w:rsidRPr="00D30B39">
        <w:rPr>
          <w:rFonts w:ascii="Verdana" w:hAnsi="Verdana"/>
          <w:b/>
          <w:bCs/>
          <w:sz w:val="18"/>
          <w:szCs w:val="18"/>
        </w:rPr>
        <w:t xml:space="preserve"> </w:t>
      </w:r>
      <w:r w:rsidRPr="00D30B39">
        <w:rPr>
          <w:rFonts w:ascii="Verdana" w:eastAsia="Tahoma" w:hAnsi="Verdana" w:cs="Tahoma"/>
          <w:color w:val="000000"/>
          <w:sz w:val="18"/>
          <w:szCs w:val="18"/>
        </w:rPr>
        <w:t xml:space="preserve">the consumer’s file. When this occurs, users must comply with regulations specifying the procedures to be followed. Federal </w:t>
      </w:r>
      <w:r w:rsidR="00BB2C0E" w:rsidRPr="00D30B39">
        <w:rPr>
          <w:rFonts w:ascii="Verdana" w:eastAsia="Tahoma" w:hAnsi="Verdana" w:cs="Tahoma"/>
          <w:color w:val="000000"/>
          <w:sz w:val="18"/>
          <w:szCs w:val="18"/>
        </w:rPr>
        <w:t>r</w:t>
      </w:r>
      <w:r w:rsidRPr="00D30B39">
        <w:rPr>
          <w:rFonts w:ascii="Verdana" w:eastAsia="Tahoma" w:hAnsi="Verdana" w:cs="Tahoma"/>
          <w:color w:val="000000"/>
          <w:sz w:val="18"/>
          <w:szCs w:val="18"/>
        </w:rPr>
        <w:t xml:space="preserve">egulations are available </w:t>
      </w:r>
      <w:r w:rsidR="00BB2C0E" w:rsidRPr="00D30B39">
        <w:rPr>
          <w:rFonts w:ascii="Verdana" w:eastAsia="Tahoma" w:hAnsi="Verdana" w:cs="Tahoma"/>
          <w:color w:val="000000"/>
          <w:sz w:val="18"/>
          <w:szCs w:val="18"/>
        </w:rPr>
        <w:t xml:space="preserve">at </w:t>
      </w:r>
      <w:hyperlink r:id="rId29">
        <w:r w:rsidR="00BB2C0E" w:rsidRPr="00D30B39">
          <w:rPr>
            <w:rFonts w:ascii="Verdana" w:eastAsia="Tahoma" w:hAnsi="Verdana" w:cs="Tahoma"/>
            <w:color w:val="0000FF"/>
            <w:sz w:val="18"/>
            <w:szCs w:val="18"/>
          </w:rPr>
          <w:t>www.consumerfinance.gov/learnmore</w:t>
        </w:r>
      </w:hyperlink>
      <w:hyperlink r:id="rId30">
        <w:r w:rsidR="00BB2C0E" w:rsidRPr="00D30B39">
          <w:rPr>
            <w:rFonts w:ascii="Verdana" w:eastAsia="Tahoma" w:hAnsi="Verdana" w:cs="Tahoma"/>
            <w:color w:val="000000"/>
            <w:sz w:val="18"/>
            <w:szCs w:val="18"/>
          </w:rPr>
          <w:t>.</w:t>
        </w:r>
      </w:hyperlink>
    </w:p>
    <w:p w14:paraId="41CC732D" w14:textId="77777777" w:rsidR="00466525" w:rsidRPr="00D30B39" w:rsidRDefault="00466525" w:rsidP="0026445F">
      <w:pPr>
        <w:rPr>
          <w:rFonts w:ascii="Verdana" w:hAnsi="Verdana"/>
          <w:b/>
          <w:bCs/>
          <w:sz w:val="18"/>
          <w:szCs w:val="18"/>
        </w:rPr>
      </w:pPr>
    </w:p>
    <w:p w14:paraId="2BA1C201" w14:textId="4E0DEB3B" w:rsidR="0026445F" w:rsidRPr="00D30B39" w:rsidRDefault="0026445F" w:rsidP="00234CC5">
      <w:pPr>
        <w:pStyle w:val="ListParagraph"/>
        <w:numPr>
          <w:ilvl w:val="0"/>
          <w:numId w:val="12"/>
        </w:numPr>
        <w:rPr>
          <w:rFonts w:ascii="Verdana" w:hAnsi="Verdana"/>
          <w:b/>
          <w:bCs/>
          <w:sz w:val="18"/>
          <w:szCs w:val="18"/>
          <w:u w:val="single"/>
        </w:rPr>
      </w:pPr>
      <w:r w:rsidRPr="00D30B39">
        <w:rPr>
          <w:rFonts w:ascii="Verdana" w:hAnsi="Verdana"/>
          <w:b/>
          <w:bCs/>
          <w:sz w:val="18"/>
          <w:szCs w:val="18"/>
          <w:u w:val="single"/>
        </w:rPr>
        <w:t>Users Have Obligations When Disposing of Records</w:t>
      </w:r>
    </w:p>
    <w:p w14:paraId="6846EAD6" w14:textId="77777777" w:rsidR="00D30B39" w:rsidRDefault="00D30B39" w:rsidP="0026445F">
      <w:pPr>
        <w:rPr>
          <w:rFonts w:ascii="Verdana" w:eastAsia="Tahoma" w:hAnsi="Verdana" w:cs="Tahoma"/>
          <w:color w:val="000000"/>
          <w:sz w:val="18"/>
          <w:szCs w:val="18"/>
        </w:rPr>
      </w:pPr>
    </w:p>
    <w:p w14:paraId="40E7A958" w14:textId="10D8CD41" w:rsidR="00466525" w:rsidRPr="00D30B39" w:rsidRDefault="0026445F" w:rsidP="0026445F">
      <w:pPr>
        <w:rPr>
          <w:rFonts w:ascii="Verdana" w:eastAsia="Tahoma" w:hAnsi="Verdana" w:cs="Tahoma"/>
          <w:color w:val="000000"/>
          <w:sz w:val="18"/>
          <w:szCs w:val="18"/>
        </w:rPr>
      </w:pPr>
      <w:r w:rsidRPr="00D30B39">
        <w:rPr>
          <w:rFonts w:ascii="Verdana" w:eastAsia="Tahoma" w:hAnsi="Verdana" w:cs="Tahoma"/>
          <w:color w:val="000000"/>
          <w:sz w:val="18"/>
          <w:szCs w:val="18"/>
        </w:rPr>
        <w:t xml:space="preserve">Section 628 requires that all users of consumer report information have in place procedures to properly dispose of records containing this information. </w:t>
      </w:r>
      <w:r w:rsidR="00BB2C0E" w:rsidRPr="00D30B39">
        <w:rPr>
          <w:rFonts w:ascii="Verdana" w:eastAsia="Tahoma" w:hAnsi="Verdana" w:cs="Tahoma"/>
          <w:color w:val="000000"/>
          <w:sz w:val="18"/>
          <w:szCs w:val="18"/>
        </w:rPr>
        <w:t xml:space="preserve">Federal regulations have been issued that cover disposal. </w:t>
      </w:r>
    </w:p>
    <w:p w14:paraId="07062568" w14:textId="5B6B5D50" w:rsidR="0026445F" w:rsidRPr="00D30B39" w:rsidRDefault="00BB2C0E" w:rsidP="0026445F">
      <w:pPr>
        <w:rPr>
          <w:rFonts w:ascii="Verdana" w:hAnsi="Verdana"/>
          <w:b/>
          <w:bCs/>
          <w:sz w:val="18"/>
          <w:szCs w:val="18"/>
        </w:rPr>
      </w:pPr>
      <w:r w:rsidRPr="00D30B39">
        <w:rPr>
          <w:rFonts w:ascii="Verdana" w:eastAsia="Tahoma" w:hAnsi="Verdana" w:cs="Tahoma"/>
          <w:color w:val="000000"/>
          <w:sz w:val="18"/>
          <w:szCs w:val="18"/>
        </w:rPr>
        <w:t xml:space="preserve"> </w:t>
      </w:r>
    </w:p>
    <w:p w14:paraId="3FF73CF8" w14:textId="4F58A3C9" w:rsidR="0026445F" w:rsidRDefault="0026445F" w:rsidP="0026445F">
      <w:pPr>
        <w:pStyle w:val="Heading2"/>
      </w:pPr>
      <w:r>
        <w:t>CREDITORS MUST MAKE ADDITIONAL DISCLOSURES</w:t>
      </w:r>
      <w:r w:rsidR="00BB2C0E">
        <w:br/>
      </w:r>
    </w:p>
    <w:p w14:paraId="789BA09B" w14:textId="1258624C" w:rsidR="00BB2C0E" w:rsidRDefault="00BB2C0E" w:rsidP="00BB2C0E">
      <w:pPr>
        <w:rPr>
          <w:rFonts w:ascii="Verdana" w:eastAsia="Tahoma" w:hAnsi="Verdana" w:cs="Tahoma"/>
          <w:color w:val="000000"/>
          <w:sz w:val="18"/>
          <w:szCs w:val="18"/>
        </w:rPr>
      </w:pPr>
      <w:r w:rsidRPr="00946F9C">
        <w:rPr>
          <w:rFonts w:ascii="Verdana" w:eastAsia="Tahoma" w:hAnsi="Verdana" w:cs="Tahoma"/>
          <w:color w:val="000000"/>
          <w:sz w:val="18"/>
          <w:szCs w:val="18"/>
        </w:rPr>
        <w:t xml:space="preserve">If a person uses a consumer report in connection with an application for, or a grant, extension, or provision of, credit to a consumer on material terms that are materially less favorable than the most favorable terms available to a substantial proportion of consumers from or through that person, based in whole or in part on a consumer report, the </w:t>
      </w:r>
      <w:r w:rsidRPr="00946F9C">
        <w:rPr>
          <w:rFonts w:ascii="Verdana" w:eastAsia="Tahoma" w:hAnsi="Verdana" w:cs="Tahoma"/>
          <w:color w:val="000000"/>
          <w:sz w:val="18"/>
          <w:szCs w:val="18"/>
        </w:rPr>
        <w:lastRenderedPageBreak/>
        <w:t>person must provide a risk-based pricing notice to the consumer in accordance with regulations prescribed by the Consumer Financial Protection Bureau.</w:t>
      </w:r>
    </w:p>
    <w:p w14:paraId="63BFC277" w14:textId="77777777" w:rsidR="00466525" w:rsidRDefault="00466525" w:rsidP="00BB2C0E">
      <w:pPr>
        <w:rPr>
          <w:rFonts w:ascii="Verdana" w:eastAsia="Tahoma" w:hAnsi="Verdana" w:cs="Tahoma"/>
          <w:color w:val="000000"/>
          <w:sz w:val="18"/>
          <w:szCs w:val="18"/>
        </w:rPr>
      </w:pPr>
    </w:p>
    <w:p w14:paraId="6024AB4E" w14:textId="4E944CA9" w:rsidR="00BB2C0E" w:rsidRDefault="00BB2C0E" w:rsidP="00BB2C0E">
      <w:pPr>
        <w:rPr>
          <w:rFonts w:ascii="Verdana" w:eastAsia="Tahoma" w:hAnsi="Verdana" w:cs="Tahoma"/>
          <w:color w:val="000000"/>
          <w:sz w:val="18"/>
          <w:szCs w:val="18"/>
        </w:rPr>
      </w:pPr>
      <w:r w:rsidRPr="00946F9C">
        <w:rPr>
          <w:rFonts w:ascii="Verdana" w:eastAsia="Tahoma" w:hAnsi="Verdana" w:cs="Tahoma"/>
          <w:color w:val="000000"/>
          <w:sz w:val="18"/>
          <w:szCs w:val="18"/>
        </w:rPr>
        <w:t>Section 609(g) requires a disclosure by all persons that make or arrange loans secured by residential real property (one to four units) and that use credit scores. These persons must provide credit scores and other information about credit scores to applicants, including the disclosure set forth in Section 609(g)(1)(D) (“Notice to the Home Loan</w:t>
      </w:r>
      <w:r>
        <w:rPr>
          <w:rFonts w:ascii="Verdana" w:eastAsia="Tahoma" w:hAnsi="Verdana" w:cs="Tahoma"/>
          <w:color w:val="000000"/>
          <w:sz w:val="18"/>
          <w:szCs w:val="18"/>
        </w:rPr>
        <w:t xml:space="preserve"> Applicant”).</w:t>
      </w:r>
    </w:p>
    <w:p w14:paraId="2A4DCBC8" w14:textId="77777777" w:rsidR="00466525" w:rsidRDefault="00466525" w:rsidP="00BB2C0E">
      <w:pPr>
        <w:rPr>
          <w:rFonts w:ascii="Verdana" w:eastAsia="Tahoma" w:hAnsi="Verdana" w:cs="Tahoma"/>
          <w:color w:val="000000"/>
          <w:sz w:val="18"/>
          <w:szCs w:val="18"/>
        </w:rPr>
      </w:pPr>
    </w:p>
    <w:p w14:paraId="5531098F" w14:textId="2F1486CC" w:rsidR="00BB2C0E" w:rsidRDefault="00BB2C0E" w:rsidP="00BB2C0E">
      <w:pPr>
        <w:pStyle w:val="Heading2"/>
      </w:pPr>
      <w:r>
        <w:t>OBLIGATIONS OF USERS WHEN CONSUMER REPORTS ARE OBTAINED FOR EMPLOYMENT PURPOSES</w:t>
      </w:r>
    </w:p>
    <w:p w14:paraId="16122765" w14:textId="77777777" w:rsidR="00946F9C" w:rsidRPr="00946F9C" w:rsidRDefault="00946F9C" w:rsidP="00946F9C">
      <w:pPr>
        <w:pBdr>
          <w:top w:val="nil"/>
          <w:left w:val="nil"/>
          <w:bottom w:val="nil"/>
          <w:right w:val="nil"/>
          <w:between w:val="nil"/>
        </w:pBdr>
        <w:spacing w:before="1"/>
        <w:rPr>
          <w:rFonts w:ascii="Verdana" w:eastAsia="Tahoma" w:hAnsi="Verdana" w:cs="Tahoma"/>
          <w:b/>
          <w:color w:val="000000"/>
          <w:sz w:val="18"/>
          <w:szCs w:val="18"/>
        </w:rPr>
      </w:pPr>
    </w:p>
    <w:p w14:paraId="517E0FA1" w14:textId="4A3CFA3A" w:rsidR="00946F9C" w:rsidRPr="00BB2C0E" w:rsidRDefault="00946F9C" w:rsidP="00BB2C0E">
      <w:pPr>
        <w:widowControl w:val="0"/>
        <w:numPr>
          <w:ilvl w:val="0"/>
          <w:numId w:val="8"/>
        </w:numPr>
        <w:pBdr>
          <w:top w:val="nil"/>
          <w:left w:val="nil"/>
          <w:bottom w:val="nil"/>
          <w:right w:val="nil"/>
          <w:between w:val="nil"/>
        </w:pBdr>
        <w:tabs>
          <w:tab w:val="left" w:pos="1191"/>
        </w:tabs>
        <w:ind w:left="720" w:hanging="360"/>
        <w:rPr>
          <w:rFonts w:ascii="Verdana" w:eastAsia="Tahoma" w:hAnsi="Verdana" w:cs="Tahoma"/>
          <w:b/>
          <w:color w:val="000000"/>
          <w:sz w:val="18"/>
          <w:szCs w:val="18"/>
        </w:rPr>
      </w:pPr>
      <w:r w:rsidRPr="00946F9C">
        <w:rPr>
          <w:rFonts w:ascii="Verdana" w:eastAsia="Tahoma" w:hAnsi="Verdana" w:cs="Tahoma"/>
          <w:b/>
          <w:color w:val="000000"/>
          <w:sz w:val="18"/>
          <w:szCs w:val="18"/>
          <w:u w:val="single"/>
        </w:rPr>
        <w:t>Employment Other Than in the Trucking Industry</w:t>
      </w:r>
    </w:p>
    <w:p w14:paraId="2058550B" w14:textId="77777777" w:rsidR="00BB2C0E" w:rsidRPr="00946F9C" w:rsidRDefault="00BB2C0E" w:rsidP="00BB2C0E">
      <w:pPr>
        <w:widowControl w:val="0"/>
        <w:pBdr>
          <w:top w:val="nil"/>
          <w:left w:val="nil"/>
          <w:bottom w:val="nil"/>
          <w:right w:val="nil"/>
          <w:between w:val="nil"/>
        </w:pBdr>
        <w:tabs>
          <w:tab w:val="left" w:pos="1191"/>
        </w:tabs>
        <w:rPr>
          <w:rFonts w:ascii="Verdana" w:eastAsia="Tahoma" w:hAnsi="Verdana" w:cs="Tahoma"/>
          <w:b/>
          <w:color w:val="000000"/>
          <w:sz w:val="18"/>
          <w:szCs w:val="18"/>
        </w:rPr>
      </w:pPr>
    </w:p>
    <w:p w14:paraId="31CB0B89" w14:textId="77777777" w:rsidR="00946F9C" w:rsidRPr="00946F9C" w:rsidRDefault="00946F9C" w:rsidP="00946F9C">
      <w:pPr>
        <w:pBdr>
          <w:top w:val="nil"/>
          <w:left w:val="nil"/>
          <w:bottom w:val="nil"/>
          <w:right w:val="nil"/>
          <w:between w:val="nil"/>
        </w:pBdr>
        <w:spacing w:before="1"/>
        <w:rPr>
          <w:rFonts w:ascii="Verdana" w:eastAsia="Tahoma" w:hAnsi="Verdana" w:cs="Tahoma"/>
          <w:color w:val="000000"/>
          <w:sz w:val="18"/>
          <w:szCs w:val="18"/>
        </w:rPr>
      </w:pPr>
      <w:r w:rsidRPr="00946F9C">
        <w:rPr>
          <w:rFonts w:ascii="Verdana" w:eastAsia="Tahoma" w:hAnsi="Verdana" w:cs="Tahoma"/>
          <w:color w:val="000000"/>
          <w:sz w:val="18"/>
          <w:szCs w:val="18"/>
        </w:rPr>
        <w:t>If the information from a CRA is used for employment purposes, the user has specific duties, which are set forth in Section 604(b) of the FCRA. The user must:</w:t>
      </w:r>
    </w:p>
    <w:p w14:paraId="1CD3ADC3" w14:textId="77777777" w:rsidR="00946F9C" w:rsidRPr="00946F9C" w:rsidRDefault="00946F9C" w:rsidP="00BB2C0E">
      <w:pPr>
        <w:widowControl w:val="0"/>
        <w:numPr>
          <w:ilvl w:val="1"/>
          <w:numId w:val="8"/>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Make a clear and conspicuous written disclosure to the consumer before the report is obtained, in a document that consists solely of the disclosure, that a consumer report may be obtained.</w:t>
      </w:r>
    </w:p>
    <w:p w14:paraId="7FBDE289" w14:textId="77777777" w:rsidR="00946F9C" w:rsidRPr="00946F9C" w:rsidRDefault="00946F9C" w:rsidP="00BB2C0E">
      <w:pPr>
        <w:widowControl w:val="0"/>
        <w:numPr>
          <w:ilvl w:val="1"/>
          <w:numId w:val="8"/>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Obtain from the consumer prior written authorization. Authorization to access reports during the term of employment may be obtained at the time of employment.</w:t>
      </w:r>
    </w:p>
    <w:p w14:paraId="32A893A9" w14:textId="77777777" w:rsidR="00946F9C" w:rsidRPr="00946F9C" w:rsidRDefault="00946F9C" w:rsidP="00BB2C0E">
      <w:pPr>
        <w:widowControl w:val="0"/>
        <w:numPr>
          <w:ilvl w:val="1"/>
          <w:numId w:val="8"/>
        </w:numPr>
        <w:pBdr>
          <w:top w:val="nil"/>
          <w:left w:val="nil"/>
          <w:bottom w:val="nil"/>
          <w:right w:val="nil"/>
          <w:between w:val="nil"/>
        </w:pBdr>
        <w:tabs>
          <w:tab w:val="left" w:pos="1818"/>
        </w:tabs>
        <w:spacing w:before="2"/>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Certify to the CRA that the above steps have been followed, that the information being obtained will not be used in violation of any federal or state equal opportunity law or regulation, and that, if any adverse action is to be taken based on the consumer report, a copy of the report and a summary of the consumer’s rights will be provided to the consumer.</w:t>
      </w:r>
    </w:p>
    <w:p w14:paraId="083597D5" w14:textId="147F29FF" w:rsidR="00946F9C" w:rsidRPr="00946F9C" w:rsidRDefault="00946F9C" w:rsidP="00BB2C0E">
      <w:pPr>
        <w:pBdr>
          <w:top w:val="nil"/>
          <w:left w:val="nil"/>
          <w:bottom w:val="nil"/>
          <w:right w:val="nil"/>
          <w:between w:val="nil"/>
        </w:pBdr>
        <w:spacing w:before="1" w:line="237" w:lineRule="auto"/>
        <w:ind w:left="1440" w:hanging="720"/>
        <w:jc w:val="both"/>
        <w:rPr>
          <w:rFonts w:ascii="Verdana" w:eastAsia="Tahoma" w:hAnsi="Verdana" w:cs="Tahoma"/>
          <w:color w:val="000000"/>
          <w:sz w:val="18"/>
          <w:szCs w:val="18"/>
        </w:rPr>
      </w:pPr>
      <w:r w:rsidRPr="00946F9C">
        <w:rPr>
          <w:rFonts w:ascii="Verdana" w:hAnsi="Verdana"/>
          <w:noProof/>
          <w:color w:val="000000"/>
          <w:sz w:val="18"/>
          <w:szCs w:val="18"/>
        </w:rPr>
        <w:drawing>
          <wp:inline distT="0" distB="0" distL="0" distR="0" wp14:anchorId="0B6E8168" wp14:editId="29671DF1">
            <wp:extent cx="103631" cy="140208"/>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03631" cy="140208"/>
                    </a:xfrm>
                    <a:prstGeom prst="rect">
                      <a:avLst/>
                    </a:prstGeom>
                    <a:ln/>
                  </pic:spPr>
                </pic:pic>
              </a:graphicData>
            </a:graphic>
          </wp:inline>
        </w:drawing>
      </w:r>
      <w:r w:rsidR="00BB2C0E">
        <w:rPr>
          <w:rFonts w:ascii="Verdana" w:eastAsia="Tahoma" w:hAnsi="Verdana" w:cs="Tahoma"/>
          <w:b/>
          <w:color w:val="000000"/>
          <w:sz w:val="18"/>
          <w:szCs w:val="18"/>
        </w:rPr>
        <w:tab/>
      </w:r>
      <w:r w:rsidRPr="00946F9C">
        <w:rPr>
          <w:rFonts w:ascii="Verdana" w:eastAsia="Tahoma" w:hAnsi="Verdana" w:cs="Tahoma"/>
          <w:b/>
          <w:color w:val="000000"/>
          <w:sz w:val="18"/>
          <w:szCs w:val="18"/>
        </w:rPr>
        <w:t xml:space="preserve">Before </w:t>
      </w:r>
      <w:r w:rsidRPr="00946F9C">
        <w:rPr>
          <w:rFonts w:ascii="Verdana" w:eastAsia="Tahoma" w:hAnsi="Verdana" w:cs="Tahoma"/>
          <w:color w:val="000000"/>
          <w:sz w:val="18"/>
          <w:szCs w:val="18"/>
        </w:rPr>
        <w:t>taking an adverse action, the user must provide a copy of the report to the consumer as well as the summary of consumer’s rights (The user should receive this summary from the CRA.) A Section 615(a) adverse action notice should be sent after the adverse action is taken.</w:t>
      </w:r>
    </w:p>
    <w:p w14:paraId="58C696A5" w14:textId="77777777" w:rsidR="00466525" w:rsidRDefault="00466525" w:rsidP="00946F9C">
      <w:pPr>
        <w:pBdr>
          <w:top w:val="nil"/>
          <w:left w:val="nil"/>
          <w:bottom w:val="nil"/>
          <w:right w:val="nil"/>
          <w:between w:val="nil"/>
        </w:pBdr>
        <w:rPr>
          <w:rFonts w:ascii="Verdana" w:eastAsia="Tahoma" w:hAnsi="Verdana" w:cs="Tahoma"/>
          <w:color w:val="000000"/>
          <w:sz w:val="18"/>
          <w:szCs w:val="18"/>
        </w:rPr>
      </w:pPr>
    </w:p>
    <w:p w14:paraId="484E16BC" w14:textId="44890D0D" w:rsidR="00946F9C" w:rsidRPr="00946F9C" w:rsidRDefault="00946F9C" w:rsidP="00946F9C">
      <w:pPr>
        <w:pBdr>
          <w:top w:val="nil"/>
          <w:left w:val="nil"/>
          <w:bottom w:val="nil"/>
          <w:right w:val="nil"/>
          <w:between w:val="nil"/>
        </w:pBdr>
        <w:rPr>
          <w:rFonts w:ascii="Verdana" w:eastAsia="Tahoma" w:hAnsi="Verdana" w:cs="Tahoma"/>
          <w:color w:val="000000"/>
          <w:sz w:val="18"/>
          <w:szCs w:val="18"/>
        </w:rPr>
      </w:pPr>
      <w:r w:rsidRPr="00946F9C">
        <w:rPr>
          <w:rFonts w:ascii="Verdana" w:eastAsia="Tahoma" w:hAnsi="Verdana" w:cs="Tahoma"/>
          <w:color w:val="000000"/>
          <w:sz w:val="18"/>
          <w:szCs w:val="18"/>
        </w:rPr>
        <w:t xml:space="preserve">An adverse action notice also is required in employment situations if credit information (other than transactions and experience data) obtained from an affiliate is used to deny employment. </w:t>
      </w:r>
      <w:r w:rsidRPr="00BB2C0E">
        <w:rPr>
          <w:rFonts w:ascii="Verdana" w:eastAsia="Tahoma" w:hAnsi="Verdana" w:cs="Tahoma"/>
          <w:color w:val="000000"/>
          <w:sz w:val="18"/>
          <w:szCs w:val="18"/>
          <w:u w:val="single"/>
        </w:rPr>
        <w:t>Section 615(b)(2)</w:t>
      </w:r>
      <w:r w:rsidRPr="00946F9C">
        <w:rPr>
          <w:rFonts w:ascii="Verdana" w:eastAsia="Tahoma" w:hAnsi="Verdana" w:cs="Tahoma"/>
          <w:color w:val="000000"/>
          <w:sz w:val="18"/>
          <w:szCs w:val="18"/>
        </w:rPr>
        <w:t>.</w:t>
      </w:r>
    </w:p>
    <w:p w14:paraId="47750A02" w14:textId="77777777" w:rsidR="00466525" w:rsidRDefault="00466525" w:rsidP="00946F9C">
      <w:pPr>
        <w:pBdr>
          <w:top w:val="nil"/>
          <w:left w:val="nil"/>
          <w:bottom w:val="nil"/>
          <w:right w:val="nil"/>
          <w:between w:val="nil"/>
        </w:pBdr>
        <w:rPr>
          <w:rFonts w:ascii="Verdana" w:eastAsia="Tahoma" w:hAnsi="Verdana" w:cs="Tahoma"/>
          <w:color w:val="000000"/>
          <w:sz w:val="18"/>
          <w:szCs w:val="18"/>
        </w:rPr>
      </w:pPr>
    </w:p>
    <w:p w14:paraId="665ED964" w14:textId="700DC5A4" w:rsidR="00946F9C" w:rsidRDefault="00946F9C" w:rsidP="00946F9C">
      <w:pPr>
        <w:pBdr>
          <w:top w:val="nil"/>
          <w:left w:val="nil"/>
          <w:bottom w:val="nil"/>
          <w:right w:val="nil"/>
          <w:between w:val="nil"/>
        </w:pBdr>
        <w:rPr>
          <w:rFonts w:ascii="Verdana" w:eastAsia="Tahoma" w:hAnsi="Verdana" w:cs="Tahoma"/>
          <w:color w:val="000000"/>
          <w:sz w:val="18"/>
          <w:szCs w:val="18"/>
        </w:rPr>
      </w:pPr>
      <w:r w:rsidRPr="00946F9C">
        <w:rPr>
          <w:rFonts w:ascii="Verdana" w:eastAsia="Tahoma" w:hAnsi="Verdana" w:cs="Tahoma"/>
          <w:color w:val="000000"/>
          <w:sz w:val="18"/>
          <w:szCs w:val="18"/>
        </w:rPr>
        <w:t>The procedures for investigative consumer reports and employee misconduct investigations are set forth below.</w:t>
      </w:r>
    </w:p>
    <w:p w14:paraId="5B641964" w14:textId="77777777" w:rsidR="00466525" w:rsidRDefault="00466525" w:rsidP="00946F9C">
      <w:pPr>
        <w:pBdr>
          <w:top w:val="nil"/>
          <w:left w:val="nil"/>
          <w:bottom w:val="nil"/>
          <w:right w:val="nil"/>
          <w:between w:val="nil"/>
        </w:pBdr>
        <w:rPr>
          <w:rFonts w:ascii="Verdana" w:eastAsia="Tahoma" w:hAnsi="Verdana" w:cs="Tahoma"/>
          <w:color w:val="000000"/>
          <w:sz w:val="18"/>
          <w:szCs w:val="18"/>
        </w:rPr>
      </w:pPr>
    </w:p>
    <w:p w14:paraId="082C4CC3" w14:textId="22CEB267" w:rsidR="00BB2C0E" w:rsidRPr="00BB2C0E" w:rsidRDefault="00BB2C0E" w:rsidP="00BB2C0E">
      <w:pPr>
        <w:widowControl w:val="0"/>
        <w:numPr>
          <w:ilvl w:val="0"/>
          <w:numId w:val="8"/>
        </w:numPr>
        <w:pBdr>
          <w:top w:val="nil"/>
          <w:left w:val="nil"/>
          <w:bottom w:val="nil"/>
          <w:right w:val="nil"/>
          <w:between w:val="nil"/>
        </w:pBdr>
        <w:ind w:left="720" w:hanging="360"/>
        <w:rPr>
          <w:rFonts w:ascii="Verdana" w:eastAsia="Tahoma" w:hAnsi="Verdana" w:cs="Tahoma"/>
          <w:b/>
          <w:color w:val="000000"/>
          <w:sz w:val="18"/>
          <w:szCs w:val="18"/>
        </w:rPr>
      </w:pPr>
      <w:r w:rsidRPr="00946F9C">
        <w:rPr>
          <w:rFonts w:ascii="Verdana" w:eastAsia="Tahoma" w:hAnsi="Verdana" w:cs="Tahoma"/>
          <w:b/>
          <w:color w:val="000000"/>
          <w:sz w:val="18"/>
          <w:szCs w:val="18"/>
          <w:u w:val="single"/>
        </w:rPr>
        <w:t>Employment in the Trucking Industry</w:t>
      </w:r>
    </w:p>
    <w:p w14:paraId="6E9EE6F7" w14:textId="77777777" w:rsidR="00BB2C0E" w:rsidRPr="00BB2C0E" w:rsidRDefault="00BB2C0E" w:rsidP="00BB2C0E">
      <w:pPr>
        <w:widowControl w:val="0"/>
        <w:pBdr>
          <w:top w:val="nil"/>
          <w:left w:val="nil"/>
          <w:bottom w:val="nil"/>
          <w:right w:val="nil"/>
          <w:between w:val="nil"/>
        </w:pBdr>
        <w:rPr>
          <w:rFonts w:ascii="Verdana" w:eastAsia="Tahoma" w:hAnsi="Verdana" w:cs="Tahoma"/>
          <w:b/>
          <w:color w:val="000000"/>
          <w:sz w:val="18"/>
          <w:szCs w:val="18"/>
        </w:rPr>
      </w:pPr>
    </w:p>
    <w:p w14:paraId="5927D896" w14:textId="2A2EF210" w:rsidR="00946F9C" w:rsidRDefault="00946F9C" w:rsidP="00946F9C">
      <w:pPr>
        <w:pBdr>
          <w:top w:val="nil"/>
          <w:left w:val="nil"/>
          <w:bottom w:val="nil"/>
          <w:right w:val="nil"/>
          <w:between w:val="nil"/>
        </w:pBdr>
        <w:spacing w:before="1"/>
        <w:rPr>
          <w:rFonts w:ascii="Verdana" w:eastAsia="Tahoma" w:hAnsi="Verdana" w:cs="Tahoma"/>
          <w:color w:val="000000"/>
          <w:sz w:val="18"/>
          <w:szCs w:val="18"/>
        </w:rPr>
      </w:pPr>
      <w:r w:rsidRPr="00946F9C">
        <w:rPr>
          <w:rFonts w:ascii="Verdana" w:eastAsia="Tahoma" w:hAnsi="Verdana" w:cs="Tahoma"/>
          <w:color w:val="000000"/>
          <w:sz w:val="18"/>
          <w:szCs w:val="18"/>
        </w:rPr>
        <w:t>Special rules apply for truck drivers where the only interaction between the consumer and the potential employer is by mail, telephone, or computer. In this case, the consumer may provide consent orally or electronically, and an adverse action may be made orally, in writing, or electronically. The consumer may obtain a copy of any report relied upon by the trucking company by contacting the company.</w:t>
      </w:r>
    </w:p>
    <w:p w14:paraId="66091665" w14:textId="77777777" w:rsidR="00466525" w:rsidRDefault="00466525" w:rsidP="00946F9C">
      <w:pPr>
        <w:pBdr>
          <w:top w:val="nil"/>
          <w:left w:val="nil"/>
          <w:bottom w:val="nil"/>
          <w:right w:val="nil"/>
          <w:between w:val="nil"/>
        </w:pBdr>
        <w:spacing w:before="1"/>
        <w:rPr>
          <w:rFonts w:ascii="Verdana" w:eastAsia="Tahoma" w:hAnsi="Verdana" w:cs="Tahoma"/>
          <w:color w:val="000000"/>
          <w:sz w:val="18"/>
          <w:szCs w:val="18"/>
        </w:rPr>
      </w:pPr>
    </w:p>
    <w:p w14:paraId="767FB169" w14:textId="121B8B50" w:rsidR="00BB2C0E" w:rsidRDefault="00BB2C0E" w:rsidP="00BB2C0E">
      <w:pPr>
        <w:pStyle w:val="Heading2"/>
      </w:pPr>
      <w:r>
        <w:t>OBLIGATIONS WHEN INVESTIGATIVE CONSUMER REPORTS ARE USED</w:t>
      </w:r>
      <w:r>
        <w:br/>
      </w:r>
    </w:p>
    <w:p w14:paraId="16BDA037" w14:textId="05ACFE95" w:rsidR="00BB2C0E" w:rsidRDefault="00BB2C0E" w:rsidP="00BB2C0E">
      <w:pPr>
        <w:rPr>
          <w:rFonts w:ascii="Verdana" w:eastAsia="Tahoma" w:hAnsi="Verdana" w:cs="Tahoma"/>
          <w:color w:val="000000"/>
          <w:sz w:val="18"/>
          <w:szCs w:val="18"/>
        </w:rPr>
      </w:pPr>
      <w:r w:rsidRPr="00946F9C">
        <w:rPr>
          <w:rFonts w:ascii="Verdana" w:eastAsia="Tahoma" w:hAnsi="Verdana" w:cs="Tahoma"/>
          <w:color w:val="000000"/>
          <w:sz w:val="18"/>
          <w:szCs w:val="18"/>
        </w:rPr>
        <w:t>Investigative consumer reports are a special type of consumer report in which information about a consumer’s character, general reputation, personal characteristics, and mode of living is obtained through personal interviews by an entity or person that is a consumer reporting agency. Consumers who are the subjects of such reports are given special rights under the FCRA. If a user intends to obtain an investigative consumer report, Section 606 requires the following:</w:t>
      </w:r>
    </w:p>
    <w:p w14:paraId="58AF3E18" w14:textId="77777777" w:rsidR="00466525" w:rsidRDefault="00466525" w:rsidP="00BB2C0E">
      <w:pPr>
        <w:rPr>
          <w:rFonts w:ascii="Verdana" w:eastAsia="Tahoma" w:hAnsi="Verdana" w:cs="Tahoma"/>
          <w:color w:val="000000"/>
          <w:sz w:val="18"/>
          <w:szCs w:val="18"/>
        </w:rPr>
      </w:pPr>
    </w:p>
    <w:p w14:paraId="58B0E97E" w14:textId="77777777" w:rsidR="00BB2C0E" w:rsidRPr="00946F9C" w:rsidRDefault="00BB2C0E" w:rsidP="00BB2C0E">
      <w:pPr>
        <w:widowControl w:val="0"/>
        <w:numPr>
          <w:ilvl w:val="1"/>
          <w:numId w:val="10"/>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The user must disclose to the consumer that an investigative consumer report may be obtained. This must be done in a written disclosure that is mailed, or otherwise delivered, to the consumer at some time before or not later than three days after the date on which the report was first requested. The disclosure must include a statement informing the consumer of his or her right to request additional disclosures of the nature and scope of the investigation as described below, and the summary of consumer rights required by Section 609 of the FCRA. (The summary of consumer rights will be provided by the CRA that conducts the investigation.)</w:t>
      </w:r>
    </w:p>
    <w:p w14:paraId="15FA6C28" w14:textId="77777777" w:rsidR="00BB2C0E" w:rsidRPr="00946F9C" w:rsidRDefault="00BB2C0E" w:rsidP="00BB2C0E">
      <w:pPr>
        <w:widowControl w:val="0"/>
        <w:numPr>
          <w:ilvl w:val="1"/>
          <w:numId w:val="10"/>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The user must certify to the CRA that the disclosures set forth above have been made and that the user will make the disclosure described below.</w:t>
      </w:r>
    </w:p>
    <w:p w14:paraId="4313E4CA" w14:textId="77777777" w:rsidR="00BB2C0E" w:rsidRPr="00946F9C" w:rsidRDefault="00BB2C0E" w:rsidP="00BB2C0E">
      <w:pPr>
        <w:widowControl w:val="0"/>
        <w:numPr>
          <w:ilvl w:val="1"/>
          <w:numId w:val="10"/>
        </w:numPr>
        <w:pBdr>
          <w:top w:val="nil"/>
          <w:left w:val="nil"/>
          <w:bottom w:val="nil"/>
          <w:right w:val="nil"/>
          <w:between w:val="nil"/>
        </w:pBdr>
        <w:tabs>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Upon the written request of a consumer made within a reasonable period of time after the disclosures required above, the user must make a complete disclosure of the nature and scope of the investigation. This must be made in a written statement that is mailed or otherwise delivered, to the consumer no later than five days after the date on which the request was received from the consumer or the report was first requested, whichever is later in time.</w:t>
      </w:r>
    </w:p>
    <w:p w14:paraId="5F9271A4" w14:textId="72247E72" w:rsidR="00BB2C0E" w:rsidRDefault="00BB2C0E" w:rsidP="00BB2C0E">
      <w:pPr>
        <w:rPr>
          <w:rFonts w:ascii="Verdana" w:eastAsia="Tahoma" w:hAnsi="Verdana" w:cs="Tahoma"/>
          <w:color w:val="000000"/>
          <w:sz w:val="18"/>
          <w:szCs w:val="18"/>
        </w:rPr>
      </w:pPr>
    </w:p>
    <w:p w14:paraId="64C816B8" w14:textId="1ABAA72E" w:rsidR="00BB2C0E" w:rsidRDefault="00BB2C0E" w:rsidP="00BB2C0E">
      <w:pPr>
        <w:pStyle w:val="Heading2"/>
      </w:pPr>
      <w:r>
        <w:lastRenderedPageBreak/>
        <w:t>SPECIAL PROCEDURES FOR EMPLOYEE INVESTIGATIONS</w:t>
      </w:r>
      <w:r>
        <w:br/>
      </w:r>
    </w:p>
    <w:p w14:paraId="255DCE28" w14:textId="55EDFFC0" w:rsidR="00BB2C0E" w:rsidRDefault="00BB2C0E" w:rsidP="00BB2C0E">
      <w:pPr>
        <w:rPr>
          <w:rFonts w:ascii="Verdana" w:eastAsia="Tahoma" w:hAnsi="Verdana" w:cs="Tahoma"/>
          <w:color w:val="000000"/>
          <w:sz w:val="18"/>
          <w:szCs w:val="18"/>
        </w:rPr>
      </w:pPr>
      <w:r w:rsidRPr="00946F9C">
        <w:rPr>
          <w:rFonts w:ascii="Verdana" w:eastAsia="Tahoma" w:hAnsi="Verdana" w:cs="Tahoma"/>
          <w:color w:val="000000"/>
          <w:sz w:val="18"/>
          <w:szCs w:val="18"/>
        </w:rPr>
        <w:t>Section 603(x) provides special procedures for investigations of suspected misconduct by an employee or for compliance with Federal, state or local laws and regulations or the rules of a self-regulatory organization, and compliance with written policies of the employer. These investigations are not treated as consumer reports so long as the employer or its agent complies with the procedures set forth in Section 603(x), and a summary describing the nature and scope of the inquiry is made to the employee if an adverse action is taken based on the investigation.</w:t>
      </w:r>
    </w:p>
    <w:p w14:paraId="26794B35" w14:textId="77777777" w:rsidR="00466525" w:rsidRPr="00BB2C0E" w:rsidRDefault="00466525" w:rsidP="00BB2C0E"/>
    <w:p w14:paraId="0E8BC178" w14:textId="4141D652" w:rsidR="00BB2C0E" w:rsidRDefault="00BB2C0E" w:rsidP="00BB2C0E">
      <w:pPr>
        <w:pStyle w:val="Heading2"/>
      </w:pPr>
      <w:r>
        <w:t>OBLIGATIONS OF USERS OF MEDICAL INFORMATION</w:t>
      </w:r>
    </w:p>
    <w:p w14:paraId="15C7D0FF" w14:textId="2A8A8AC1" w:rsidR="00322679" w:rsidRDefault="00322679" w:rsidP="00322679">
      <w:pPr>
        <w:rPr>
          <w:rFonts w:ascii="Verdana" w:eastAsia="Tahoma" w:hAnsi="Verdana" w:cs="Tahoma"/>
          <w:color w:val="000000"/>
          <w:sz w:val="18"/>
          <w:szCs w:val="18"/>
        </w:rPr>
      </w:pPr>
      <w:r>
        <w:rPr>
          <w:rFonts w:ascii="Verdana" w:eastAsia="Tahoma" w:hAnsi="Verdana" w:cs="Tahoma"/>
          <w:color w:val="000000"/>
          <w:sz w:val="18"/>
          <w:szCs w:val="18"/>
        </w:rPr>
        <w:br/>
      </w:r>
      <w:r w:rsidRPr="00946F9C">
        <w:rPr>
          <w:rFonts w:ascii="Verdana" w:eastAsia="Tahoma" w:hAnsi="Verdana" w:cs="Tahoma"/>
          <w:color w:val="000000"/>
          <w:sz w:val="18"/>
          <w:szCs w:val="18"/>
        </w:rPr>
        <w:t xml:space="preserve">Section 604(g) limits the use of medical information obtained from consumer reporting agencies (other than payment information that appears in a coded form that does not identify the medical provider). If the information is to be used for an insurance transaction, the consumer must give consent to the user of the </w:t>
      </w:r>
      <w:proofErr w:type="gramStart"/>
      <w:r w:rsidRPr="00946F9C">
        <w:rPr>
          <w:rFonts w:ascii="Verdana" w:eastAsia="Tahoma" w:hAnsi="Verdana" w:cs="Tahoma"/>
          <w:color w:val="000000"/>
          <w:sz w:val="18"/>
          <w:szCs w:val="18"/>
        </w:rPr>
        <w:t>report</w:t>
      </w:r>
      <w:proofErr w:type="gramEnd"/>
      <w:r w:rsidRPr="00946F9C">
        <w:rPr>
          <w:rFonts w:ascii="Verdana" w:eastAsia="Tahoma" w:hAnsi="Verdana" w:cs="Tahoma"/>
          <w:color w:val="000000"/>
          <w:sz w:val="18"/>
          <w:szCs w:val="18"/>
        </w:rPr>
        <w:t xml:space="preserve"> or the information must be coded.  If the report is to be used for employment purposes – or in connection with a credit transaction (except as provided in regulations issued by the banking and credit union regulators) – the consumer must provide specific written consent and the medical information must be relevant. Any user who receives medical information shall not disclose the information to any other person (except where necessary to carry out the purpose for which the information was disclosed, or a permitted by statute, regulation, or order).</w:t>
      </w:r>
    </w:p>
    <w:p w14:paraId="1FF9EAF4" w14:textId="77777777" w:rsidR="00466525" w:rsidRPr="00322679" w:rsidRDefault="00466525" w:rsidP="00322679"/>
    <w:p w14:paraId="16C37B5D" w14:textId="5E95DC79" w:rsidR="00BB2C0E" w:rsidRDefault="00BB2C0E" w:rsidP="00BB2C0E">
      <w:pPr>
        <w:pStyle w:val="Heading2"/>
      </w:pPr>
      <w:r>
        <w:t>OBLIGATIONS OF USERS OF “PRESCREENED” LISTS</w:t>
      </w:r>
    </w:p>
    <w:p w14:paraId="3637E8EC" w14:textId="51B74824" w:rsidR="00322679" w:rsidRDefault="00322679" w:rsidP="00322679">
      <w:pPr>
        <w:rPr>
          <w:rFonts w:ascii="Verdana" w:eastAsia="Tahoma" w:hAnsi="Verdana" w:cs="Tahoma"/>
          <w:color w:val="000000"/>
          <w:sz w:val="18"/>
          <w:szCs w:val="18"/>
        </w:rPr>
      </w:pPr>
      <w:r>
        <w:rPr>
          <w:rFonts w:ascii="Verdana" w:eastAsia="Tahoma" w:hAnsi="Verdana" w:cs="Tahoma"/>
          <w:color w:val="000000"/>
          <w:sz w:val="18"/>
          <w:szCs w:val="18"/>
        </w:rPr>
        <w:br/>
      </w:r>
      <w:r w:rsidRPr="00946F9C">
        <w:rPr>
          <w:rFonts w:ascii="Verdana" w:eastAsia="Tahoma" w:hAnsi="Verdana" w:cs="Tahoma"/>
          <w:color w:val="000000"/>
          <w:sz w:val="18"/>
          <w:szCs w:val="18"/>
        </w:rPr>
        <w:t xml:space="preserve">The FCRA permits creditors and insurers to obtain limited consumer report information for use in connection with unsolicited offers of credit or insurance under certain circumstances. </w:t>
      </w:r>
      <w:r w:rsidRPr="00171C36">
        <w:rPr>
          <w:rFonts w:ascii="Verdana" w:eastAsia="Tahoma" w:hAnsi="Verdana" w:cs="Tahoma"/>
          <w:color w:val="000000"/>
          <w:sz w:val="18"/>
          <w:szCs w:val="18"/>
          <w:u w:val="single"/>
        </w:rPr>
        <w:t>Sections 603(1), 604(c), 604(e), and 614(d)</w:t>
      </w:r>
      <w:r w:rsidRPr="00946F9C">
        <w:rPr>
          <w:rFonts w:ascii="Verdana" w:eastAsia="Tahoma" w:hAnsi="Verdana" w:cs="Tahoma"/>
          <w:color w:val="000000"/>
          <w:sz w:val="18"/>
          <w:szCs w:val="18"/>
        </w:rPr>
        <w:t>. This practice is known as “prescreening” and typically involves obtaining a list of consumers from a CRA who meet certain preestablished criteria. If any person intends to use prescreened lists, that person must (1) before the offer is made, establish the criteria that will be relied upon to make the offer and grant credit or insurance, and (2) maintain such criteria on file for a three-year period beginning on the date on which the offer is made to each consumer. In addition, any user must provide with each written solicitation a clear and conspicuous statement that:</w:t>
      </w:r>
    </w:p>
    <w:p w14:paraId="7F575B13" w14:textId="77777777" w:rsidR="00466525" w:rsidRDefault="00466525" w:rsidP="00322679">
      <w:pPr>
        <w:rPr>
          <w:rFonts w:ascii="Verdana" w:eastAsia="Tahoma" w:hAnsi="Verdana" w:cs="Tahoma"/>
          <w:color w:val="000000"/>
          <w:sz w:val="18"/>
          <w:szCs w:val="18"/>
        </w:rPr>
      </w:pPr>
    </w:p>
    <w:p w14:paraId="3D550CD1" w14:textId="77777777" w:rsidR="00322679" w:rsidRPr="00946F9C" w:rsidRDefault="00322679" w:rsidP="00322679">
      <w:pPr>
        <w:widowControl w:val="0"/>
        <w:numPr>
          <w:ilvl w:val="1"/>
          <w:numId w:val="10"/>
        </w:numPr>
        <w:pBdr>
          <w:top w:val="nil"/>
          <w:left w:val="nil"/>
          <w:bottom w:val="nil"/>
          <w:right w:val="nil"/>
          <w:between w:val="nil"/>
        </w:pBdr>
        <w:tabs>
          <w:tab w:val="left" w:pos="1530"/>
          <w:tab w:val="left" w:pos="1818"/>
        </w:tabs>
        <w:spacing w:line="217" w:lineRule="auto"/>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Information contained in a consumer’s CRA file was used in connection with the transaction.</w:t>
      </w:r>
    </w:p>
    <w:p w14:paraId="02D9782F" w14:textId="19F3C9C8" w:rsidR="00322679" w:rsidRDefault="00322679" w:rsidP="00322679">
      <w:pPr>
        <w:widowControl w:val="0"/>
        <w:numPr>
          <w:ilvl w:val="1"/>
          <w:numId w:val="10"/>
        </w:numPr>
        <w:pBdr>
          <w:top w:val="nil"/>
          <w:left w:val="nil"/>
          <w:bottom w:val="nil"/>
          <w:right w:val="nil"/>
          <w:between w:val="nil"/>
        </w:pBdr>
        <w:tabs>
          <w:tab w:val="left" w:pos="1530"/>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The consumer received the offer because he or she satisfied the criteria for credit worthiness or insurability used to screen for the offer.</w:t>
      </w:r>
    </w:p>
    <w:p w14:paraId="3890C211" w14:textId="08DE7759" w:rsidR="00322679" w:rsidRDefault="00322679" w:rsidP="00322679">
      <w:pPr>
        <w:widowControl w:val="0"/>
        <w:numPr>
          <w:ilvl w:val="1"/>
          <w:numId w:val="10"/>
        </w:numPr>
        <w:pBdr>
          <w:top w:val="nil"/>
          <w:left w:val="nil"/>
          <w:bottom w:val="nil"/>
          <w:right w:val="nil"/>
          <w:between w:val="nil"/>
        </w:pBdr>
        <w:tabs>
          <w:tab w:val="left" w:pos="1530"/>
          <w:tab w:val="left" w:pos="1818"/>
        </w:tabs>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Credit or insurance may not be extended if, after the consumer responds, it is determined that the consumer does not meet the criteria used for screening or any applicable criteria bearing on credit worthiness or insurability, or the consumer does not furnish required collateral</w:t>
      </w:r>
      <w:r>
        <w:rPr>
          <w:rFonts w:ascii="Verdana" w:eastAsia="Tahoma" w:hAnsi="Verdana" w:cs="Tahoma"/>
          <w:color w:val="000000"/>
          <w:sz w:val="18"/>
          <w:szCs w:val="18"/>
        </w:rPr>
        <w:t>.</w:t>
      </w:r>
    </w:p>
    <w:p w14:paraId="2DB09E6B" w14:textId="10D7930D" w:rsidR="00322679" w:rsidRDefault="00322679" w:rsidP="00322679">
      <w:pPr>
        <w:widowControl w:val="0"/>
        <w:numPr>
          <w:ilvl w:val="1"/>
          <w:numId w:val="10"/>
        </w:numPr>
        <w:pBdr>
          <w:top w:val="nil"/>
          <w:left w:val="nil"/>
          <w:bottom w:val="nil"/>
          <w:right w:val="nil"/>
          <w:between w:val="nil"/>
        </w:pBdr>
        <w:tabs>
          <w:tab w:val="left" w:pos="1530"/>
          <w:tab w:val="left" w:pos="1818"/>
        </w:tabs>
        <w:ind w:left="1440" w:hanging="720"/>
        <w:rPr>
          <w:rFonts w:ascii="Verdana" w:eastAsia="Tahoma" w:hAnsi="Verdana" w:cs="Tahoma"/>
          <w:color w:val="000000"/>
          <w:sz w:val="18"/>
          <w:szCs w:val="18"/>
        </w:rPr>
      </w:pPr>
      <w:r>
        <w:rPr>
          <w:rFonts w:ascii="Verdana" w:eastAsia="Tahoma" w:hAnsi="Verdana" w:cs="Tahoma"/>
          <w:color w:val="000000"/>
          <w:sz w:val="18"/>
          <w:szCs w:val="18"/>
        </w:rPr>
        <w:t xml:space="preserve">The consumer may prohibit the use of information in his or her file in connection with future prescreened offers of credit or insurance by contacting the </w:t>
      </w:r>
      <w:r w:rsidRPr="00946F9C">
        <w:rPr>
          <w:rFonts w:ascii="Verdana" w:eastAsia="Tahoma" w:hAnsi="Verdana" w:cs="Tahoma"/>
          <w:color w:val="000000"/>
          <w:sz w:val="18"/>
          <w:szCs w:val="18"/>
        </w:rPr>
        <w:t>notification system established by the CRA that provided the report. The statement must include the address and toll-free telephone number of the appropriate notification system</w:t>
      </w:r>
      <w:r>
        <w:rPr>
          <w:rFonts w:ascii="Verdana" w:eastAsia="Tahoma" w:hAnsi="Verdana" w:cs="Tahoma"/>
          <w:color w:val="000000"/>
          <w:sz w:val="18"/>
          <w:szCs w:val="18"/>
        </w:rPr>
        <w:t>.</w:t>
      </w:r>
    </w:p>
    <w:p w14:paraId="39311FC8" w14:textId="77777777" w:rsidR="00322679" w:rsidRPr="00322679" w:rsidRDefault="00322679" w:rsidP="00322679">
      <w:pPr>
        <w:widowControl w:val="0"/>
        <w:pBdr>
          <w:top w:val="nil"/>
          <w:left w:val="nil"/>
          <w:bottom w:val="nil"/>
          <w:right w:val="nil"/>
          <w:between w:val="nil"/>
        </w:pBdr>
        <w:tabs>
          <w:tab w:val="left" w:pos="1530"/>
          <w:tab w:val="left" w:pos="1818"/>
        </w:tabs>
        <w:rPr>
          <w:rFonts w:ascii="Verdana" w:eastAsia="Tahoma" w:hAnsi="Verdana" w:cs="Tahoma"/>
          <w:color w:val="000000"/>
          <w:sz w:val="18"/>
          <w:szCs w:val="18"/>
        </w:rPr>
      </w:pPr>
    </w:p>
    <w:p w14:paraId="2CAEEB0F" w14:textId="554DEB7A" w:rsidR="00322679" w:rsidRDefault="00322679" w:rsidP="00322679">
      <w:pPr>
        <w:pBdr>
          <w:top w:val="nil"/>
          <w:left w:val="nil"/>
          <w:bottom w:val="nil"/>
          <w:right w:val="nil"/>
          <w:between w:val="nil"/>
        </w:pBdr>
        <w:rPr>
          <w:rFonts w:ascii="Verdana" w:eastAsia="Tahoma" w:hAnsi="Verdana" w:cs="Tahoma"/>
          <w:color w:val="000000"/>
          <w:sz w:val="18"/>
          <w:szCs w:val="18"/>
        </w:rPr>
      </w:pPr>
      <w:r w:rsidRPr="00946F9C">
        <w:rPr>
          <w:rFonts w:ascii="Verdana" w:eastAsia="Tahoma" w:hAnsi="Verdana" w:cs="Tahoma"/>
          <w:color w:val="000000"/>
          <w:sz w:val="18"/>
          <w:szCs w:val="18"/>
        </w:rPr>
        <w:t xml:space="preserve">In addition, the Consumer Financial Protection Bureau has established the format, type size, and manner of the disclosure required by Section 615(d), with which users must comply. The </w:t>
      </w:r>
      <w:r>
        <w:rPr>
          <w:rFonts w:ascii="Verdana" w:eastAsia="Tahoma" w:hAnsi="Verdana" w:cs="Tahoma"/>
          <w:color w:val="000000"/>
          <w:sz w:val="18"/>
          <w:szCs w:val="18"/>
        </w:rPr>
        <w:t xml:space="preserve">relevant </w:t>
      </w:r>
      <w:r w:rsidRPr="00946F9C">
        <w:rPr>
          <w:rFonts w:ascii="Verdana" w:eastAsia="Tahoma" w:hAnsi="Verdana" w:cs="Tahoma"/>
          <w:color w:val="000000"/>
          <w:sz w:val="18"/>
          <w:szCs w:val="18"/>
        </w:rPr>
        <w:t>regulation is 12 CFR 1022.54.</w:t>
      </w:r>
    </w:p>
    <w:p w14:paraId="294F7FAA" w14:textId="77777777" w:rsidR="00466525" w:rsidRPr="00946F9C" w:rsidRDefault="00466525" w:rsidP="00322679">
      <w:pPr>
        <w:pBdr>
          <w:top w:val="nil"/>
          <w:left w:val="nil"/>
          <w:bottom w:val="nil"/>
          <w:right w:val="nil"/>
          <w:between w:val="nil"/>
        </w:pBdr>
        <w:rPr>
          <w:rFonts w:ascii="Verdana" w:eastAsia="Tahoma" w:hAnsi="Verdana" w:cs="Tahoma"/>
          <w:color w:val="000000"/>
          <w:sz w:val="18"/>
          <w:szCs w:val="18"/>
        </w:rPr>
      </w:pPr>
    </w:p>
    <w:p w14:paraId="4117C799" w14:textId="7B4FF60F" w:rsidR="00322679" w:rsidRDefault="00322679" w:rsidP="00BB2C0E">
      <w:pPr>
        <w:pStyle w:val="Heading2"/>
      </w:pPr>
      <w:r>
        <w:t>OBLIGATIONS OF RESELLERS</w:t>
      </w:r>
      <w:r w:rsidR="00171C36">
        <w:br/>
      </w:r>
    </w:p>
    <w:p w14:paraId="27084DCC" w14:textId="14A464DB" w:rsidR="00171C36" w:rsidRPr="00171C36" w:rsidRDefault="00171C36" w:rsidP="00171C36">
      <w:pPr>
        <w:widowControl w:val="0"/>
        <w:numPr>
          <w:ilvl w:val="0"/>
          <w:numId w:val="20"/>
        </w:numPr>
        <w:pBdr>
          <w:top w:val="nil"/>
          <w:left w:val="nil"/>
          <w:bottom w:val="nil"/>
          <w:right w:val="nil"/>
          <w:between w:val="nil"/>
        </w:pBdr>
        <w:tabs>
          <w:tab w:val="left" w:pos="990"/>
        </w:tabs>
        <w:ind w:left="720" w:hanging="360"/>
        <w:rPr>
          <w:rFonts w:ascii="Verdana" w:eastAsia="Tahoma" w:hAnsi="Verdana" w:cs="Tahoma"/>
          <w:b/>
          <w:color w:val="000000"/>
          <w:sz w:val="18"/>
          <w:szCs w:val="18"/>
        </w:rPr>
      </w:pPr>
      <w:r>
        <w:rPr>
          <w:rFonts w:ascii="Verdana" w:eastAsia="Tahoma" w:hAnsi="Verdana" w:cs="Tahoma"/>
          <w:b/>
          <w:color w:val="000000"/>
          <w:sz w:val="18"/>
          <w:szCs w:val="18"/>
          <w:u w:val="single"/>
        </w:rPr>
        <w:t xml:space="preserve">Disclosure and Certification Requirements </w:t>
      </w:r>
    </w:p>
    <w:p w14:paraId="01BDF3F0" w14:textId="66BDB812" w:rsid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u w:val="single"/>
        </w:rPr>
      </w:pPr>
    </w:p>
    <w:p w14:paraId="174B8008" w14:textId="05FF9BB1" w:rsidR="00171C36" w:rsidRDefault="00171C36" w:rsidP="00171C36">
      <w:pPr>
        <w:widowControl w:val="0"/>
        <w:pBdr>
          <w:top w:val="nil"/>
          <w:left w:val="nil"/>
          <w:bottom w:val="nil"/>
          <w:right w:val="nil"/>
          <w:between w:val="nil"/>
        </w:pBdr>
        <w:tabs>
          <w:tab w:val="left" w:pos="990"/>
        </w:tabs>
        <w:rPr>
          <w:rFonts w:ascii="Verdana" w:eastAsia="Tahoma" w:hAnsi="Verdana" w:cs="Tahoma"/>
          <w:color w:val="000000"/>
          <w:sz w:val="18"/>
          <w:szCs w:val="18"/>
        </w:rPr>
      </w:pPr>
      <w:r w:rsidRPr="00946F9C">
        <w:rPr>
          <w:rFonts w:ascii="Verdana" w:eastAsia="Tahoma" w:hAnsi="Verdana" w:cs="Tahoma"/>
          <w:color w:val="000000"/>
          <w:sz w:val="18"/>
          <w:szCs w:val="18"/>
        </w:rPr>
        <w:t>Section 607(e) requires any person who obtains a consumer report for resale to take the following steps:</w:t>
      </w:r>
    </w:p>
    <w:p w14:paraId="3A049451" w14:textId="724EB4F9" w:rsid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u w:val="single"/>
        </w:rPr>
      </w:pPr>
    </w:p>
    <w:p w14:paraId="1BB480DE" w14:textId="77777777" w:rsidR="00171C36" w:rsidRPr="00946F9C" w:rsidRDefault="00171C36" w:rsidP="00171C36">
      <w:pPr>
        <w:widowControl w:val="0"/>
        <w:numPr>
          <w:ilvl w:val="1"/>
          <w:numId w:val="7"/>
        </w:numPr>
        <w:pBdr>
          <w:top w:val="nil"/>
          <w:left w:val="nil"/>
          <w:bottom w:val="nil"/>
          <w:right w:val="nil"/>
          <w:between w:val="nil"/>
        </w:pBdr>
        <w:tabs>
          <w:tab w:val="left" w:pos="1818"/>
        </w:tabs>
        <w:spacing w:before="1" w:line="217" w:lineRule="auto"/>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Disclose the identity of the end-user to the source CRA.</w:t>
      </w:r>
    </w:p>
    <w:p w14:paraId="76C0836F" w14:textId="77777777" w:rsidR="00171C36" w:rsidRPr="00946F9C" w:rsidRDefault="00171C36" w:rsidP="00171C36">
      <w:pPr>
        <w:widowControl w:val="0"/>
        <w:numPr>
          <w:ilvl w:val="1"/>
          <w:numId w:val="7"/>
        </w:numPr>
        <w:pBdr>
          <w:top w:val="nil"/>
          <w:left w:val="nil"/>
          <w:bottom w:val="nil"/>
          <w:right w:val="nil"/>
          <w:between w:val="nil"/>
        </w:pBdr>
        <w:tabs>
          <w:tab w:val="left" w:pos="1818"/>
        </w:tabs>
        <w:spacing w:line="217" w:lineRule="auto"/>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Identify to the source CRA each permissible purpose for which the report will be furnished to the end-user.</w:t>
      </w:r>
    </w:p>
    <w:p w14:paraId="527F41C5" w14:textId="1DF64239" w:rsidR="00171C36" w:rsidRPr="00946F9C" w:rsidRDefault="00171C36" w:rsidP="00171C36">
      <w:pPr>
        <w:widowControl w:val="0"/>
        <w:numPr>
          <w:ilvl w:val="1"/>
          <w:numId w:val="7"/>
        </w:numPr>
        <w:pBdr>
          <w:top w:val="nil"/>
          <w:left w:val="nil"/>
          <w:bottom w:val="nil"/>
          <w:right w:val="nil"/>
          <w:between w:val="nil"/>
        </w:pBdr>
        <w:tabs>
          <w:tab w:val="left" w:pos="1818"/>
        </w:tabs>
        <w:spacing w:before="1"/>
        <w:ind w:left="1440" w:hanging="720"/>
        <w:rPr>
          <w:rFonts w:ascii="Verdana" w:eastAsia="Tahoma" w:hAnsi="Verdana" w:cs="Tahoma"/>
          <w:color w:val="000000"/>
          <w:sz w:val="18"/>
          <w:szCs w:val="18"/>
        </w:rPr>
      </w:pPr>
      <w:r w:rsidRPr="00946F9C">
        <w:rPr>
          <w:rFonts w:ascii="Verdana" w:eastAsia="Tahoma" w:hAnsi="Verdana" w:cs="Tahoma"/>
          <w:color w:val="000000"/>
          <w:sz w:val="18"/>
          <w:szCs w:val="18"/>
        </w:rPr>
        <w:t>Establish and follow reasonable procedures to ensure that reports are resold only for permissible</w:t>
      </w:r>
      <w:r>
        <w:rPr>
          <w:rFonts w:ascii="Verdana" w:eastAsia="Tahoma" w:hAnsi="Verdana" w:cs="Tahoma"/>
          <w:color w:val="000000"/>
          <w:sz w:val="18"/>
          <w:szCs w:val="18"/>
        </w:rPr>
        <w:t xml:space="preserve"> </w:t>
      </w:r>
      <w:r w:rsidRPr="00946F9C">
        <w:rPr>
          <w:rFonts w:ascii="Verdana" w:eastAsia="Tahoma" w:hAnsi="Verdana" w:cs="Tahoma"/>
          <w:color w:val="000000"/>
          <w:sz w:val="18"/>
          <w:szCs w:val="18"/>
        </w:rPr>
        <w:t>purposes, including procedures to obtain:</w:t>
      </w:r>
    </w:p>
    <w:p w14:paraId="770AF390" w14:textId="77777777" w:rsidR="00171C36" w:rsidRPr="00946F9C" w:rsidRDefault="00171C36" w:rsidP="00171C36">
      <w:pPr>
        <w:widowControl w:val="0"/>
        <w:numPr>
          <w:ilvl w:val="0"/>
          <w:numId w:val="6"/>
        </w:numPr>
        <w:pBdr>
          <w:top w:val="nil"/>
          <w:left w:val="nil"/>
          <w:bottom w:val="nil"/>
          <w:right w:val="nil"/>
          <w:between w:val="nil"/>
        </w:pBdr>
        <w:tabs>
          <w:tab w:val="left" w:pos="1974"/>
        </w:tabs>
        <w:spacing w:line="217" w:lineRule="auto"/>
        <w:ind w:left="2160" w:hanging="720"/>
        <w:rPr>
          <w:rFonts w:ascii="Verdana" w:eastAsia="Tahoma" w:hAnsi="Verdana" w:cs="Tahoma"/>
          <w:color w:val="000000"/>
          <w:sz w:val="18"/>
          <w:szCs w:val="18"/>
        </w:rPr>
      </w:pPr>
      <w:r w:rsidRPr="00946F9C">
        <w:rPr>
          <w:rFonts w:ascii="Verdana" w:eastAsia="Tahoma" w:hAnsi="Verdana" w:cs="Tahoma"/>
          <w:color w:val="000000"/>
          <w:sz w:val="18"/>
          <w:szCs w:val="18"/>
        </w:rPr>
        <w:t>the identify of all end-users;</w:t>
      </w:r>
    </w:p>
    <w:p w14:paraId="7A2EC2B6" w14:textId="77777777" w:rsidR="00171C36" w:rsidRPr="00946F9C" w:rsidRDefault="00171C36" w:rsidP="00171C36">
      <w:pPr>
        <w:widowControl w:val="0"/>
        <w:numPr>
          <w:ilvl w:val="0"/>
          <w:numId w:val="6"/>
        </w:numPr>
        <w:pBdr>
          <w:top w:val="nil"/>
          <w:left w:val="nil"/>
          <w:bottom w:val="nil"/>
          <w:right w:val="nil"/>
          <w:between w:val="nil"/>
        </w:pBdr>
        <w:tabs>
          <w:tab w:val="left" w:pos="1974"/>
        </w:tabs>
        <w:spacing w:line="217" w:lineRule="auto"/>
        <w:ind w:left="2160" w:hanging="720"/>
        <w:rPr>
          <w:rFonts w:ascii="Verdana" w:eastAsia="Tahoma" w:hAnsi="Verdana" w:cs="Tahoma"/>
          <w:color w:val="000000"/>
          <w:sz w:val="18"/>
          <w:szCs w:val="18"/>
        </w:rPr>
      </w:pPr>
      <w:r w:rsidRPr="00946F9C">
        <w:rPr>
          <w:rFonts w:ascii="Verdana" w:eastAsia="Tahoma" w:hAnsi="Verdana" w:cs="Tahoma"/>
          <w:color w:val="000000"/>
          <w:sz w:val="18"/>
          <w:szCs w:val="18"/>
        </w:rPr>
        <w:t>certifications from all users of each purpose for which reports will be used; and</w:t>
      </w:r>
    </w:p>
    <w:p w14:paraId="5081B974" w14:textId="6D4A6CD0" w:rsidR="00171C36" w:rsidRPr="00171C36" w:rsidRDefault="00171C36" w:rsidP="00171C36">
      <w:pPr>
        <w:widowControl w:val="0"/>
        <w:numPr>
          <w:ilvl w:val="0"/>
          <w:numId w:val="6"/>
        </w:numPr>
        <w:pBdr>
          <w:top w:val="nil"/>
          <w:left w:val="nil"/>
          <w:bottom w:val="nil"/>
          <w:right w:val="nil"/>
          <w:between w:val="nil"/>
        </w:pBdr>
        <w:tabs>
          <w:tab w:val="left" w:pos="1980"/>
        </w:tabs>
        <w:spacing w:before="1"/>
        <w:ind w:left="1980" w:hanging="540"/>
        <w:rPr>
          <w:rFonts w:ascii="Verdana" w:eastAsia="Tahoma" w:hAnsi="Verdana" w:cs="Tahoma"/>
          <w:color w:val="000000"/>
          <w:sz w:val="18"/>
          <w:szCs w:val="18"/>
        </w:rPr>
      </w:pPr>
      <w:r w:rsidRPr="00946F9C">
        <w:rPr>
          <w:rFonts w:ascii="Verdana" w:eastAsia="Tahoma" w:hAnsi="Verdana" w:cs="Tahoma"/>
          <w:color w:val="000000"/>
          <w:sz w:val="18"/>
          <w:szCs w:val="18"/>
        </w:rPr>
        <w:t xml:space="preserve">certifications that </w:t>
      </w:r>
      <w:proofErr w:type="gramStart"/>
      <w:r w:rsidRPr="00946F9C">
        <w:rPr>
          <w:rFonts w:ascii="Verdana" w:eastAsia="Tahoma" w:hAnsi="Verdana" w:cs="Tahoma"/>
          <w:color w:val="000000"/>
          <w:sz w:val="18"/>
          <w:szCs w:val="18"/>
        </w:rPr>
        <w:t>reports</w:t>
      </w:r>
      <w:proofErr w:type="gramEnd"/>
      <w:r w:rsidRPr="00946F9C">
        <w:rPr>
          <w:rFonts w:ascii="Verdana" w:eastAsia="Tahoma" w:hAnsi="Verdana" w:cs="Tahoma"/>
          <w:color w:val="000000"/>
          <w:sz w:val="18"/>
          <w:szCs w:val="18"/>
        </w:rPr>
        <w:t xml:space="preserve"> will not be used for any purpose other than the purpose(s) specified to the reseller. Resellers must make reasonable efforts to verify this information before selling the report.</w:t>
      </w:r>
    </w:p>
    <w:p w14:paraId="1C9518B1" w14:textId="77777777" w:rsidR="00171C36" w:rsidRP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rPr>
      </w:pPr>
    </w:p>
    <w:p w14:paraId="2CC81842" w14:textId="5B3D47EB" w:rsidR="00171C36" w:rsidRPr="00171C36" w:rsidRDefault="00171C36" w:rsidP="00171C36">
      <w:pPr>
        <w:widowControl w:val="0"/>
        <w:numPr>
          <w:ilvl w:val="0"/>
          <w:numId w:val="20"/>
        </w:numPr>
        <w:pBdr>
          <w:top w:val="nil"/>
          <w:left w:val="nil"/>
          <w:bottom w:val="nil"/>
          <w:right w:val="nil"/>
          <w:between w:val="nil"/>
        </w:pBdr>
        <w:tabs>
          <w:tab w:val="left" w:pos="990"/>
        </w:tabs>
        <w:ind w:left="720" w:hanging="360"/>
        <w:rPr>
          <w:rFonts w:ascii="Verdana" w:eastAsia="Tahoma" w:hAnsi="Verdana" w:cs="Tahoma"/>
          <w:b/>
          <w:color w:val="000000"/>
          <w:sz w:val="18"/>
          <w:szCs w:val="18"/>
        </w:rPr>
      </w:pPr>
      <w:r>
        <w:rPr>
          <w:rFonts w:ascii="Verdana" w:eastAsia="Tahoma" w:hAnsi="Verdana" w:cs="Tahoma"/>
          <w:b/>
          <w:color w:val="000000"/>
          <w:sz w:val="18"/>
          <w:szCs w:val="18"/>
          <w:u w:val="single"/>
        </w:rPr>
        <w:t>Reinvestigations by Resellers</w:t>
      </w:r>
    </w:p>
    <w:p w14:paraId="58FCF2FD" w14:textId="1248F660" w:rsid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rPr>
      </w:pPr>
    </w:p>
    <w:p w14:paraId="142070D5" w14:textId="6B6EE8AD" w:rsidR="00171C36" w:rsidRDefault="00171C36" w:rsidP="00171C36">
      <w:pPr>
        <w:widowControl w:val="0"/>
        <w:pBdr>
          <w:top w:val="nil"/>
          <w:left w:val="nil"/>
          <w:bottom w:val="nil"/>
          <w:right w:val="nil"/>
          <w:between w:val="nil"/>
        </w:pBdr>
        <w:tabs>
          <w:tab w:val="left" w:pos="990"/>
        </w:tabs>
        <w:rPr>
          <w:rFonts w:ascii="Verdana" w:eastAsia="Tahoma" w:hAnsi="Verdana" w:cs="Tahoma"/>
          <w:color w:val="000000"/>
          <w:sz w:val="18"/>
          <w:szCs w:val="18"/>
        </w:rPr>
      </w:pPr>
      <w:r w:rsidRPr="00946F9C">
        <w:rPr>
          <w:rFonts w:ascii="Verdana" w:eastAsia="Tahoma" w:hAnsi="Verdana" w:cs="Tahoma"/>
          <w:color w:val="000000"/>
          <w:sz w:val="18"/>
          <w:szCs w:val="18"/>
        </w:rPr>
        <w:t xml:space="preserve">Under Section 611(f), if a consumer disputes the accuracy or completeness of information in a report prepared by a </w:t>
      </w:r>
      <w:r w:rsidRPr="00946F9C">
        <w:rPr>
          <w:rFonts w:ascii="Verdana" w:eastAsia="Tahoma" w:hAnsi="Verdana" w:cs="Tahoma"/>
          <w:color w:val="000000"/>
          <w:sz w:val="18"/>
          <w:szCs w:val="18"/>
        </w:rPr>
        <w:lastRenderedPageBreak/>
        <w:t>reseller, the reseller must determine whether this is a result of an action or omission on its part and, if so, correct or delete the information. If not, the reseller must send the dispute to the source CRA for reinvestigation. When any CRA notifies the reseller of the results of an investigation, the reseller must immediately convey the information to the consumer.</w:t>
      </w:r>
    </w:p>
    <w:p w14:paraId="18E117D5" w14:textId="77777777" w:rsidR="00171C36" w:rsidRP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rPr>
      </w:pPr>
    </w:p>
    <w:p w14:paraId="3C477101" w14:textId="0E5BF7E9" w:rsidR="00171C36" w:rsidRPr="00171C36" w:rsidRDefault="00171C36" w:rsidP="00171C36">
      <w:pPr>
        <w:widowControl w:val="0"/>
        <w:numPr>
          <w:ilvl w:val="0"/>
          <w:numId w:val="20"/>
        </w:numPr>
        <w:pBdr>
          <w:top w:val="nil"/>
          <w:left w:val="nil"/>
          <w:bottom w:val="nil"/>
          <w:right w:val="nil"/>
          <w:between w:val="nil"/>
        </w:pBdr>
        <w:tabs>
          <w:tab w:val="left" w:pos="990"/>
        </w:tabs>
        <w:ind w:left="720" w:hanging="360"/>
        <w:rPr>
          <w:rFonts w:ascii="Verdana" w:eastAsia="Tahoma" w:hAnsi="Verdana" w:cs="Tahoma"/>
          <w:b/>
          <w:color w:val="000000"/>
          <w:sz w:val="18"/>
          <w:szCs w:val="18"/>
        </w:rPr>
      </w:pPr>
      <w:r>
        <w:rPr>
          <w:rFonts w:ascii="Verdana" w:eastAsia="Tahoma" w:hAnsi="Verdana" w:cs="Tahoma"/>
          <w:b/>
          <w:color w:val="000000"/>
          <w:sz w:val="18"/>
          <w:szCs w:val="18"/>
          <w:u w:val="single"/>
        </w:rPr>
        <w:t>Fraud Alerts and Resellers</w:t>
      </w:r>
    </w:p>
    <w:p w14:paraId="79425B97" w14:textId="01C0A7AC" w:rsidR="00171C36"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u w:val="single"/>
        </w:rPr>
      </w:pPr>
    </w:p>
    <w:p w14:paraId="56ED0FAE" w14:textId="3651C991" w:rsidR="00171C36" w:rsidRDefault="00171C36" w:rsidP="00171C36">
      <w:pPr>
        <w:widowControl w:val="0"/>
        <w:pBdr>
          <w:top w:val="nil"/>
          <w:left w:val="nil"/>
          <w:bottom w:val="nil"/>
          <w:right w:val="nil"/>
          <w:between w:val="nil"/>
        </w:pBdr>
        <w:tabs>
          <w:tab w:val="left" w:pos="990"/>
        </w:tabs>
        <w:rPr>
          <w:rFonts w:ascii="Verdana" w:eastAsia="Tahoma" w:hAnsi="Verdana" w:cs="Tahoma"/>
          <w:color w:val="000000"/>
          <w:sz w:val="18"/>
          <w:szCs w:val="18"/>
        </w:rPr>
      </w:pPr>
      <w:r w:rsidRPr="00946F9C">
        <w:rPr>
          <w:rFonts w:ascii="Verdana" w:eastAsia="Tahoma" w:hAnsi="Verdana" w:cs="Tahoma"/>
          <w:color w:val="000000"/>
          <w:sz w:val="18"/>
          <w:szCs w:val="18"/>
        </w:rPr>
        <w:t xml:space="preserve">Section 605A(f) requires resellers who receive fraud alerts or </w:t>
      </w:r>
      <w:proofErr w:type="gramStart"/>
      <w:r w:rsidRPr="00946F9C">
        <w:rPr>
          <w:rFonts w:ascii="Verdana" w:eastAsia="Tahoma" w:hAnsi="Verdana" w:cs="Tahoma"/>
          <w:color w:val="000000"/>
          <w:sz w:val="18"/>
          <w:szCs w:val="18"/>
        </w:rPr>
        <w:t>active duty</w:t>
      </w:r>
      <w:proofErr w:type="gramEnd"/>
      <w:r w:rsidRPr="00946F9C">
        <w:rPr>
          <w:rFonts w:ascii="Verdana" w:eastAsia="Tahoma" w:hAnsi="Verdana" w:cs="Tahoma"/>
          <w:color w:val="000000"/>
          <w:sz w:val="18"/>
          <w:szCs w:val="18"/>
        </w:rPr>
        <w:t xml:space="preserve"> alerts from another consumer reporting agency to include these in their reports.</w:t>
      </w:r>
    </w:p>
    <w:p w14:paraId="7AAE9EAE" w14:textId="77777777" w:rsidR="00171C36" w:rsidRPr="00BB2C0E" w:rsidRDefault="00171C36" w:rsidP="00171C36">
      <w:pPr>
        <w:widowControl w:val="0"/>
        <w:pBdr>
          <w:top w:val="nil"/>
          <w:left w:val="nil"/>
          <w:bottom w:val="nil"/>
          <w:right w:val="nil"/>
          <w:between w:val="nil"/>
        </w:pBdr>
        <w:tabs>
          <w:tab w:val="left" w:pos="990"/>
        </w:tabs>
        <w:rPr>
          <w:rFonts w:ascii="Verdana" w:eastAsia="Tahoma" w:hAnsi="Verdana" w:cs="Tahoma"/>
          <w:b/>
          <w:color w:val="000000"/>
          <w:sz w:val="18"/>
          <w:szCs w:val="18"/>
        </w:rPr>
      </w:pPr>
    </w:p>
    <w:p w14:paraId="481812CB" w14:textId="5EFA7793" w:rsidR="00322679" w:rsidRDefault="00322679" w:rsidP="00BB2C0E">
      <w:pPr>
        <w:pStyle w:val="Heading2"/>
      </w:pPr>
      <w:r>
        <w:t>LIABILITY FOR VIOLATIONS OF THE FCRA</w:t>
      </w:r>
    </w:p>
    <w:p w14:paraId="63E88C52" w14:textId="69E15627" w:rsidR="00171C36" w:rsidRDefault="00171C36" w:rsidP="00171C36">
      <w:pPr>
        <w:rPr>
          <w:rFonts w:ascii="Verdana" w:eastAsia="Tahoma" w:hAnsi="Verdana" w:cs="Tahoma"/>
          <w:color w:val="000000"/>
          <w:sz w:val="18"/>
          <w:szCs w:val="18"/>
        </w:rPr>
      </w:pPr>
      <w:r>
        <w:br/>
      </w:r>
      <w:r w:rsidRPr="00946F9C">
        <w:rPr>
          <w:rFonts w:ascii="Verdana" w:eastAsia="Tahoma" w:hAnsi="Verdana" w:cs="Tahoma"/>
          <w:color w:val="000000"/>
          <w:sz w:val="18"/>
          <w:szCs w:val="18"/>
        </w:rPr>
        <w:t xml:space="preserve">Failure to comply with the FCRA can result in state government or federal government enforcement actions, as well as private lawsuits. </w:t>
      </w:r>
      <w:r w:rsidRPr="00946F9C">
        <w:rPr>
          <w:rFonts w:ascii="Verdana" w:eastAsia="Tahoma" w:hAnsi="Verdana" w:cs="Tahoma"/>
          <w:color w:val="000000"/>
          <w:sz w:val="18"/>
          <w:szCs w:val="18"/>
          <w:u w:val="single"/>
        </w:rPr>
        <w:t>Sections 616, 617, and 621</w:t>
      </w:r>
      <w:r w:rsidRPr="00946F9C">
        <w:rPr>
          <w:rFonts w:ascii="Verdana" w:eastAsia="Tahoma" w:hAnsi="Verdana" w:cs="Tahoma"/>
          <w:color w:val="000000"/>
          <w:sz w:val="18"/>
          <w:szCs w:val="18"/>
        </w:rPr>
        <w:t xml:space="preserve">. In addition, any person who knowingly and willfully obtains a consumer report under false pretenses may face criminal prosecution. </w:t>
      </w:r>
      <w:r w:rsidRPr="00946F9C">
        <w:rPr>
          <w:rFonts w:ascii="Verdana" w:eastAsia="Tahoma" w:hAnsi="Verdana" w:cs="Tahoma"/>
          <w:color w:val="000000"/>
          <w:sz w:val="18"/>
          <w:szCs w:val="18"/>
          <w:u w:val="single"/>
        </w:rPr>
        <w:t>Section 619</w:t>
      </w:r>
      <w:r w:rsidRPr="00946F9C">
        <w:rPr>
          <w:rFonts w:ascii="Verdana" w:eastAsia="Tahoma" w:hAnsi="Verdana" w:cs="Tahoma"/>
          <w:color w:val="000000"/>
          <w:sz w:val="18"/>
          <w:szCs w:val="18"/>
        </w:rPr>
        <w:t>.</w:t>
      </w:r>
    </w:p>
    <w:p w14:paraId="04B2F542" w14:textId="77777777" w:rsidR="00466525" w:rsidRDefault="00466525" w:rsidP="00171C36">
      <w:pPr>
        <w:rPr>
          <w:rFonts w:ascii="Verdana" w:eastAsia="Tahoma" w:hAnsi="Verdana" w:cs="Tahoma"/>
          <w:color w:val="000000"/>
          <w:sz w:val="18"/>
          <w:szCs w:val="18"/>
        </w:rPr>
      </w:pPr>
    </w:p>
    <w:p w14:paraId="4CD69B2C" w14:textId="60778558" w:rsidR="00171C36" w:rsidRDefault="00171C36" w:rsidP="00171C36">
      <w:pPr>
        <w:rPr>
          <w:rFonts w:ascii="Verdana" w:eastAsia="Tahoma" w:hAnsi="Verdana" w:cs="Tahoma"/>
          <w:color w:val="000000"/>
          <w:sz w:val="18"/>
          <w:szCs w:val="18"/>
        </w:rPr>
      </w:pPr>
      <w:r>
        <w:rPr>
          <w:rFonts w:ascii="Verdana" w:eastAsia="Tahoma" w:hAnsi="Verdana" w:cs="Tahoma"/>
          <w:color w:val="000000"/>
          <w:sz w:val="18"/>
          <w:szCs w:val="18"/>
        </w:rPr>
        <w:t xml:space="preserve">The CFPB’s website, </w:t>
      </w:r>
      <w:hyperlink r:id="rId32" w:history="1">
        <w:r w:rsidRPr="00EF033B">
          <w:rPr>
            <w:rStyle w:val="Hyperlink"/>
            <w:rFonts w:ascii="Verdana" w:eastAsia="Tahoma" w:hAnsi="Verdana" w:cs="Tahoma"/>
            <w:sz w:val="18"/>
            <w:szCs w:val="18"/>
          </w:rPr>
          <w:t>www.consumerfinance.gov/learnmore</w:t>
        </w:r>
      </w:hyperlink>
      <w:r>
        <w:rPr>
          <w:rFonts w:ascii="Verdana" w:eastAsia="Tahoma" w:hAnsi="Verdana" w:cs="Tahoma"/>
          <w:color w:val="000000"/>
          <w:sz w:val="18"/>
          <w:szCs w:val="18"/>
        </w:rPr>
        <w:t>, has more information about the FCRA, including publications for business and the full text of the FCRA.</w:t>
      </w:r>
    </w:p>
    <w:p w14:paraId="64436CCA" w14:textId="77777777" w:rsidR="00466525" w:rsidRDefault="00466525" w:rsidP="00171C36">
      <w:pPr>
        <w:rPr>
          <w:rFonts w:ascii="Verdana" w:eastAsia="Tahoma" w:hAnsi="Verdana" w:cs="Tahoma"/>
          <w:color w:val="000000"/>
          <w:sz w:val="18"/>
          <w:szCs w:val="18"/>
        </w:rPr>
      </w:pPr>
    </w:p>
    <w:p w14:paraId="16C92827" w14:textId="77777777" w:rsidR="00171C36" w:rsidRPr="00946F9C" w:rsidRDefault="00171C36" w:rsidP="00171C36">
      <w:pPr>
        <w:spacing w:before="80"/>
        <w:rPr>
          <w:rFonts w:ascii="Verdana" w:eastAsia="Tahoma" w:hAnsi="Verdana" w:cs="Tahoma"/>
          <w:b/>
          <w:sz w:val="18"/>
          <w:szCs w:val="18"/>
        </w:rPr>
      </w:pPr>
      <w:r w:rsidRPr="00946F9C">
        <w:rPr>
          <w:rFonts w:ascii="Verdana" w:eastAsia="Tahoma" w:hAnsi="Verdana" w:cs="Tahoma"/>
          <w:b/>
          <w:sz w:val="18"/>
          <w:szCs w:val="18"/>
        </w:rPr>
        <w:t>Citations for FCRA sections in the U.S. Code, 15 U.S.C. § 1618 et seq.: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855"/>
        <w:gridCol w:w="1210"/>
        <w:gridCol w:w="2099"/>
        <w:gridCol w:w="2354"/>
      </w:tblGrid>
      <w:tr w:rsidR="00171C36" w14:paraId="4834255A" w14:textId="77777777" w:rsidTr="00A16AC3">
        <w:tc>
          <w:tcPr>
            <w:tcW w:w="2353" w:type="dxa"/>
          </w:tcPr>
          <w:p w14:paraId="41F7E191" w14:textId="07058BF0" w:rsidR="00171C36" w:rsidRDefault="00171C36" w:rsidP="00171C36">
            <w:pPr>
              <w:rPr>
                <w:rFonts w:ascii="Verdana" w:eastAsia="Tahoma" w:hAnsi="Verdana" w:cs="Tahoma"/>
                <w:color w:val="000000"/>
                <w:sz w:val="18"/>
                <w:szCs w:val="18"/>
              </w:rPr>
            </w:pPr>
            <w:r>
              <w:rPr>
                <w:rFonts w:ascii="Verdana" w:eastAsia="Tahoma" w:hAnsi="Verdana" w:cs="Tahoma"/>
                <w:color w:val="000000"/>
                <w:sz w:val="18"/>
                <w:szCs w:val="18"/>
              </w:rPr>
              <w:t>Section 602</w:t>
            </w:r>
          </w:p>
        </w:tc>
        <w:tc>
          <w:tcPr>
            <w:tcW w:w="2957" w:type="dxa"/>
          </w:tcPr>
          <w:p w14:paraId="5D954094" w14:textId="3206795E" w:rsidR="00171C36" w:rsidRDefault="00171C36"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w:t>
            </w:r>
          </w:p>
        </w:tc>
        <w:tc>
          <w:tcPr>
            <w:tcW w:w="1260" w:type="dxa"/>
          </w:tcPr>
          <w:p w14:paraId="1EDB5D50" w14:textId="77777777" w:rsidR="00171C36" w:rsidRDefault="00171C36" w:rsidP="00171C36">
            <w:pPr>
              <w:rPr>
                <w:rFonts w:ascii="Verdana" w:eastAsia="Tahoma" w:hAnsi="Verdana" w:cs="Tahoma"/>
                <w:color w:val="000000"/>
                <w:sz w:val="18"/>
                <w:szCs w:val="18"/>
              </w:rPr>
            </w:pPr>
          </w:p>
        </w:tc>
        <w:tc>
          <w:tcPr>
            <w:tcW w:w="2160" w:type="dxa"/>
          </w:tcPr>
          <w:p w14:paraId="41DB63DA" w14:textId="5D8F57E9"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615</w:t>
            </w:r>
          </w:p>
        </w:tc>
        <w:tc>
          <w:tcPr>
            <w:tcW w:w="2430" w:type="dxa"/>
          </w:tcPr>
          <w:p w14:paraId="1892863A" w14:textId="044724B8"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1681m</w:t>
            </w:r>
          </w:p>
        </w:tc>
      </w:tr>
      <w:tr w:rsidR="00171C36" w14:paraId="169B8A23" w14:textId="77777777" w:rsidTr="00A16AC3">
        <w:tc>
          <w:tcPr>
            <w:tcW w:w="2353" w:type="dxa"/>
          </w:tcPr>
          <w:p w14:paraId="1389D613" w14:textId="2185212F" w:rsidR="00171C36" w:rsidRDefault="00171C36" w:rsidP="00171C36">
            <w:pPr>
              <w:rPr>
                <w:rFonts w:ascii="Verdana" w:eastAsia="Tahoma" w:hAnsi="Verdana" w:cs="Tahoma"/>
                <w:color w:val="000000"/>
                <w:sz w:val="18"/>
                <w:szCs w:val="18"/>
              </w:rPr>
            </w:pPr>
            <w:r>
              <w:rPr>
                <w:rFonts w:ascii="Verdana" w:eastAsia="Tahoma" w:hAnsi="Verdana" w:cs="Tahoma"/>
                <w:color w:val="000000"/>
                <w:sz w:val="18"/>
                <w:szCs w:val="18"/>
              </w:rPr>
              <w:t>Section 603</w:t>
            </w:r>
          </w:p>
        </w:tc>
        <w:tc>
          <w:tcPr>
            <w:tcW w:w="2957" w:type="dxa"/>
          </w:tcPr>
          <w:p w14:paraId="29E64B5B" w14:textId="6425C0F7" w:rsidR="00171C36" w:rsidRDefault="00171C36"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1681a</w:t>
            </w:r>
          </w:p>
        </w:tc>
        <w:tc>
          <w:tcPr>
            <w:tcW w:w="1260" w:type="dxa"/>
          </w:tcPr>
          <w:p w14:paraId="2DA5BA3D" w14:textId="77777777" w:rsidR="00171C36" w:rsidRDefault="00171C36" w:rsidP="00171C36">
            <w:pPr>
              <w:rPr>
                <w:rFonts w:ascii="Verdana" w:eastAsia="Tahoma" w:hAnsi="Verdana" w:cs="Tahoma"/>
                <w:color w:val="000000"/>
                <w:sz w:val="18"/>
                <w:szCs w:val="18"/>
              </w:rPr>
            </w:pPr>
          </w:p>
        </w:tc>
        <w:tc>
          <w:tcPr>
            <w:tcW w:w="2160" w:type="dxa"/>
          </w:tcPr>
          <w:p w14:paraId="02E59B3C" w14:textId="6C2A8CF0"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616</w:t>
            </w:r>
          </w:p>
        </w:tc>
        <w:tc>
          <w:tcPr>
            <w:tcW w:w="2430" w:type="dxa"/>
          </w:tcPr>
          <w:p w14:paraId="3D80F09D" w14:textId="066B4DAB"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1681n</w:t>
            </w:r>
          </w:p>
        </w:tc>
      </w:tr>
      <w:tr w:rsidR="00171C36" w14:paraId="60F45514" w14:textId="77777777" w:rsidTr="00A16AC3">
        <w:tc>
          <w:tcPr>
            <w:tcW w:w="2353" w:type="dxa"/>
          </w:tcPr>
          <w:p w14:paraId="680F15B0" w14:textId="10EB60F7" w:rsidR="00171C36" w:rsidRDefault="00171C36" w:rsidP="00171C36">
            <w:pPr>
              <w:rPr>
                <w:rFonts w:ascii="Verdana" w:eastAsia="Tahoma" w:hAnsi="Verdana" w:cs="Tahoma"/>
                <w:color w:val="000000"/>
                <w:sz w:val="18"/>
                <w:szCs w:val="18"/>
              </w:rPr>
            </w:pPr>
            <w:r>
              <w:rPr>
                <w:rFonts w:ascii="Verdana" w:eastAsia="Tahoma" w:hAnsi="Verdana" w:cs="Tahoma"/>
                <w:color w:val="000000"/>
                <w:sz w:val="18"/>
                <w:szCs w:val="18"/>
              </w:rPr>
              <w:t>Section 604</w:t>
            </w:r>
          </w:p>
        </w:tc>
        <w:tc>
          <w:tcPr>
            <w:tcW w:w="2957" w:type="dxa"/>
          </w:tcPr>
          <w:p w14:paraId="25BFEAE3" w14:textId="555B582B" w:rsidR="00171C36" w:rsidRDefault="00171C36"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1681b</w:t>
            </w:r>
          </w:p>
        </w:tc>
        <w:tc>
          <w:tcPr>
            <w:tcW w:w="1260" w:type="dxa"/>
          </w:tcPr>
          <w:p w14:paraId="2A4F42C8" w14:textId="77777777" w:rsidR="00171C36" w:rsidRDefault="00171C36" w:rsidP="00171C36">
            <w:pPr>
              <w:rPr>
                <w:rFonts w:ascii="Verdana" w:eastAsia="Tahoma" w:hAnsi="Verdana" w:cs="Tahoma"/>
                <w:color w:val="000000"/>
                <w:sz w:val="18"/>
                <w:szCs w:val="18"/>
              </w:rPr>
            </w:pPr>
          </w:p>
        </w:tc>
        <w:tc>
          <w:tcPr>
            <w:tcW w:w="2160" w:type="dxa"/>
          </w:tcPr>
          <w:p w14:paraId="4EA2DA29" w14:textId="34C7941F"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617</w:t>
            </w:r>
          </w:p>
        </w:tc>
        <w:tc>
          <w:tcPr>
            <w:tcW w:w="2430" w:type="dxa"/>
          </w:tcPr>
          <w:p w14:paraId="58982C9C" w14:textId="678A2F2B"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1681o</w:t>
            </w:r>
          </w:p>
        </w:tc>
      </w:tr>
      <w:tr w:rsidR="00171C36" w14:paraId="2A7F421D" w14:textId="77777777" w:rsidTr="00A16AC3">
        <w:tc>
          <w:tcPr>
            <w:tcW w:w="2353" w:type="dxa"/>
          </w:tcPr>
          <w:p w14:paraId="1870DC80" w14:textId="6A319BCB"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605</w:t>
            </w:r>
          </w:p>
        </w:tc>
        <w:tc>
          <w:tcPr>
            <w:tcW w:w="2957" w:type="dxa"/>
          </w:tcPr>
          <w:p w14:paraId="3CC7D41F" w14:textId="2C237B9C"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1681c</w:t>
            </w:r>
          </w:p>
        </w:tc>
        <w:tc>
          <w:tcPr>
            <w:tcW w:w="1260" w:type="dxa"/>
          </w:tcPr>
          <w:p w14:paraId="4BDDD7B1" w14:textId="77777777" w:rsidR="00171C36" w:rsidRDefault="00171C36" w:rsidP="00171C36">
            <w:pPr>
              <w:rPr>
                <w:rFonts w:ascii="Verdana" w:eastAsia="Tahoma" w:hAnsi="Verdana" w:cs="Tahoma"/>
                <w:color w:val="000000"/>
                <w:sz w:val="18"/>
                <w:szCs w:val="18"/>
              </w:rPr>
            </w:pPr>
          </w:p>
        </w:tc>
        <w:tc>
          <w:tcPr>
            <w:tcW w:w="2160" w:type="dxa"/>
          </w:tcPr>
          <w:p w14:paraId="592176E3" w14:textId="29F970E3"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618</w:t>
            </w:r>
          </w:p>
        </w:tc>
        <w:tc>
          <w:tcPr>
            <w:tcW w:w="2430" w:type="dxa"/>
          </w:tcPr>
          <w:p w14:paraId="73DAC332" w14:textId="1854E949"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1681p</w:t>
            </w:r>
          </w:p>
        </w:tc>
      </w:tr>
      <w:tr w:rsidR="00171C36" w14:paraId="56F85CBE" w14:textId="77777777" w:rsidTr="00A16AC3">
        <w:tc>
          <w:tcPr>
            <w:tcW w:w="2353" w:type="dxa"/>
          </w:tcPr>
          <w:p w14:paraId="6F180A34" w14:textId="4ACE5F7A"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605A</w:t>
            </w:r>
          </w:p>
        </w:tc>
        <w:tc>
          <w:tcPr>
            <w:tcW w:w="2957" w:type="dxa"/>
          </w:tcPr>
          <w:p w14:paraId="084C6B86" w14:textId="05620201"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1681c-1</w:t>
            </w:r>
          </w:p>
        </w:tc>
        <w:tc>
          <w:tcPr>
            <w:tcW w:w="1260" w:type="dxa"/>
          </w:tcPr>
          <w:p w14:paraId="134C5CF5" w14:textId="77777777" w:rsidR="00171C36" w:rsidRDefault="00171C36" w:rsidP="00171C36">
            <w:pPr>
              <w:rPr>
                <w:rFonts w:ascii="Verdana" w:eastAsia="Tahoma" w:hAnsi="Verdana" w:cs="Tahoma"/>
                <w:color w:val="000000"/>
                <w:sz w:val="18"/>
                <w:szCs w:val="18"/>
              </w:rPr>
            </w:pPr>
          </w:p>
        </w:tc>
        <w:tc>
          <w:tcPr>
            <w:tcW w:w="2160" w:type="dxa"/>
          </w:tcPr>
          <w:p w14:paraId="76C5A641" w14:textId="743E1281"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619</w:t>
            </w:r>
          </w:p>
        </w:tc>
        <w:tc>
          <w:tcPr>
            <w:tcW w:w="2430" w:type="dxa"/>
          </w:tcPr>
          <w:p w14:paraId="1787FCC2" w14:textId="46223B90"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1681q</w:t>
            </w:r>
          </w:p>
        </w:tc>
      </w:tr>
      <w:tr w:rsidR="00171C36" w14:paraId="1ECCA66D" w14:textId="77777777" w:rsidTr="00A16AC3">
        <w:tc>
          <w:tcPr>
            <w:tcW w:w="2353" w:type="dxa"/>
          </w:tcPr>
          <w:p w14:paraId="110ABCB1" w14:textId="5F368D0F"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605B</w:t>
            </w:r>
          </w:p>
        </w:tc>
        <w:tc>
          <w:tcPr>
            <w:tcW w:w="2957" w:type="dxa"/>
          </w:tcPr>
          <w:p w14:paraId="63F599B5" w14:textId="0D8916A6"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1681c-2</w:t>
            </w:r>
          </w:p>
        </w:tc>
        <w:tc>
          <w:tcPr>
            <w:tcW w:w="1260" w:type="dxa"/>
          </w:tcPr>
          <w:p w14:paraId="009D1118" w14:textId="77777777" w:rsidR="00171C36" w:rsidRDefault="00171C36" w:rsidP="00171C36">
            <w:pPr>
              <w:rPr>
                <w:rFonts w:ascii="Verdana" w:eastAsia="Tahoma" w:hAnsi="Verdana" w:cs="Tahoma"/>
                <w:color w:val="000000"/>
                <w:sz w:val="18"/>
                <w:szCs w:val="18"/>
              </w:rPr>
            </w:pPr>
          </w:p>
        </w:tc>
        <w:tc>
          <w:tcPr>
            <w:tcW w:w="2160" w:type="dxa"/>
          </w:tcPr>
          <w:p w14:paraId="60169290" w14:textId="00F5C919"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620</w:t>
            </w:r>
          </w:p>
        </w:tc>
        <w:tc>
          <w:tcPr>
            <w:tcW w:w="2430" w:type="dxa"/>
          </w:tcPr>
          <w:p w14:paraId="5D018809" w14:textId="0B429ED6"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1681r</w:t>
            </w:r>
          </w:p>
        </w:tc>
      </w:tr>
      <w:tr w:rsidR="00171C36" w14:paraId="600994CC" w14:textId="77777777" w:rsidTr="00A16AC3">
        <w:tc>
          <w:tcPr>
            <w:tcW w:w="2353" w:type="dxa"/>
          </w:tcPr>
          <w:p w14:paraId="2C195F51" w14:textId="79B81FAA"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606</w:t>
            </w:r>
          </w:p>
        </w:tc>
        <w:tc>
          <w:tcPr>
            <w:tcW w:w="2957" w:type="dxa"/>
          </w:tcPr>
          <w:p w14:paraId="646A7759" w14:textId="6E883076"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1681d</w:t>
            </w:r>
          </w:p>
        </w:tc>
        <w:tc>
          <w:tcPr>
            <w:tcW w:w="1260" w:type="dxa"/>
          </w:tcPr>
          <w:p w14:paraId="7D662AF8" w14:textId="77777777" w:rsidR="00171C36" w:rsidRDefault="00171C36" w:rsidP="00171C36">
            <w:pPr>
              <w:rPr>
                <w:rFonts w:ascii="Verdana" w:eastAsia="Tahoma" w:hAnsi="Verdana" w:cs="Tahoma"/>
                <w:color w:val="000000"/>
                <w:sz w:val="18"/>
                <w:szCs w:val="18"/>
              </w:rPr>
            </w:pPr>
          </w:p>
        </w:tc>
        <w:tc>
          <w:tcPr>
            <w:tcW w:w="2160" w:type="dxa"/>
          </w:tcPr>
          <w:p w14:paraId="637171C3" w14:textId="27FDDDE7"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621</w:t>
            </w:r>
          </w:p>
        </w:tc>
        <w:tc>
          <w:tcPr>
            <w:tcW w:w="2430" w:type="dxa"/>
          </w:tcPr>
          <w:p w14:paraId="12263D47" w14:textId="3C2EC86B"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1681s</w:t>
            </w:r>
          </w:p>
        </w:tc>
      </w:tr>
      <w:tr w:rsidR="00171C36" w14:paraId="71B3FD3F" w14:textId="77777777" w:rsidTr="00A16AC3">
        <w:tc>
          <w:tcPr>
            <w:tcW w:w="2353" w:type="dxa"/>
          </w:tcPr>
          <w:p w14:paraId="6A9E454D" w14:textId="27A3C641"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607</w:t>
            </w:r>
          </w:p>
        </w:tc>
        <w:tc>
          <w:tcPr>
            <w:tcW w:w="2957" w:type="dxa"/>
          </w:tcPr>
          <w:p w14:paraId="54D58A17" w14:textId="188AFA9F"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1681e</w:t>
            </w:r>
          </w:p>
        </w:tc>
        <w:tc>
          <w:tcPr>
            <w:tcW w:w="1260" w:type="dxa"/>
          </w:tcPr>
          <w:p w14:paraId="25A58E65" w14:textId="77777777" w:rsidR="00171C36" w:rsidRDefault="00171C36" w:rsidP="00171C36">
            <w:pPr>
              <w:rPr>
                <w:rFonts w:ascii="Verdana" w:eastAsia="Tahoma" w:hAnsi="Verdana" w:cs="Tahoma"/>
                <w:color w:val="000000"/>
                <w:sz w:val="18"/>
                <w:szCs w:val="18"/>
              </w:rPr>
            </w:pPr>
          </w:p>
        </w:tc>
        <w:tc>
          <w:tcPr>
            <w:tcW w:w="2160" w:type="dxa"/>
          </w:tcPr>
          <w:p w14:paraId="1F1F7C82" w14:textId="69B1D782"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622</w:t>
            </w:r>
          </w:p>
        </w:tc>
        <w:tc>
          <w:tcPr>
            <w:tcW w:w="2430" w:type="dxa"/>
          </w:tcPr>
          <w:p w14:paraId="15F84D23" w14:textId="770AA857" w:rsidR="00171C36"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1681s-1</w:t>
            </w:r>
          </w:p>
        </w:tc>
      </w:tr>
      <w:tr w:rsidR="00A16AC3" w14:paraId="5306A76E" w14:textId="77777777" w:rsidTr="00A16AC3">
        <w:tc>
          <w:tcPr>
            <w:tcW w:w="2353" w:type="dxa"/>
          </w:tcPr>
          <w:p w14:paraId="1E31FDD5" w14:textId="50F96B14"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608</w:t>
            </w:r>
          </w:p>
        </w:tc>
        <w:tc>
          <w:tcPr>
            <w:tcW w:w="2957" w:type="dxa"/>
          </w:tcPr>
          <w:p w14:paraId="7EE38441" w14:textId="193F7959"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1681f</w:t>
            </w:r>
          </w:p>
        </w:tc>
        <w:tc>
          <w:tcPr>
            <w:tcW w:w="1260" w:type="dxa"/>
          </w:tcPr>
          <w:p w14:paraId="7955B46F" w14:textId="77777777" w:rsidR="00A16AC3" w:rsidRDefault="00A16AC3" w:rsidP="00171C36">
            <w:pPr>
              <w:rPr>
                <w:rFonts w:ascii="Verdana" w:eastAsia="Tahoma" w:hAnsi="Verdana" w:cs="Tahoma"/>
                <w:color w:val="000000"/>
                <w:sz w:val="18"/>
                <w:szCs w:val="18"/>
              </w:rPr>
            </w:pPr>
          </w:p>
        </w:tc>
        <w:tc>
          <w:tcPr>
            <w:tcW w:w="2160" w:type="dxa"/>
          </w:tcPr>
          <w:p w14:paraId="67F80C38" w14:textId="1F94E5F8"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623</w:t>
            </w:r>
          </w:p>
        </w:tc>
        <w:tc>
          <w:tcPr>
            <w:tcW w:w="2430" w:type="dxa"/>
          </w:tcPr>
          <w:p w14:paraId="31F9B0F6" w14:textId="7AC3FDA4"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1681s-2</w:t>
            </w:r>
          </w:p>
        </w:tc>
      </w:tr>
      <w:tr w:rsidR="00A16AC3" w14:paraId="0102D147" w14:textId="77777777" w:rsidTr="00A16AC3">
        <w:tc>
          <w:tcPr>
            <w:tcW w:w="2353" w:type="dxa"/>
          </w:tcPr>
          <w:p w14:paraId="3B216CA0" w14:textId="0B8DB257"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609</w:t>
            </w:r>
          </w:p>
        </w:tc>
        <w:tc>
          <w:tcPr>
            <w:tcW w:w="2957" w:type="dxa"/>
          </w:tcPr>
          <w:p w14:paraId="0C511A4F" w14:textId="4A09EACA"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1681g</w:t>
            </w:r>
          </w:p>
        </w:tc>
        <w:tc>
          <w:tcPr>
            <w:tcW w:w="1260" w:type="dxa"/>
          </w:tcPr>
          <w:p w14:paraId="1E6AF68F" w14:textId="77777777" w:rsidR="00A16AC3" w:rsidRDefault="00A16AC3" w:rsidP="00171C36">
            <w:pPr>
              <w:rPr>
                <w:rFonts w:ascii="Verdana" w:eastAsia="Tahoma" w:hAnsi="Verdana" w:cs="Tahoma"/>
                <w:color w:val="000000"/>
                <w:sz w:val="18"/>
                <w:szCs w:val="18"/>
              </w:rPr>
            </w:pPr>
          </w:p>
        </w:tc>
        <w:tc>
          <w:tcPr>
            <w:tcW w:w="2160" w:type="dxa"/>
          </w:tcPr>
          <w:p w14:paraId="088185B9" w14:textId="731AB84F"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624</w:t>
            </w:r>
          </w:p>
        </w:tc>
        <w:tc>
          <w:tcPr>
            <w:tcW w:w="2430" w:type="dxa"/>
          </w:tcPr>
          <w:p w14:paraId="6BF3BF67" w14:textId="054CFFC6"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1681t</w:t>
            </w:r>
          </w:p>
        </w:tc>
      </w:tr>
      <w:tr w:rsidR="00A16AC3" w14:paraId="290D99B2" w14:textId="77777777" w:rsidTr="00A16AC3">
        <w:tc>
          <w:tcPr>
            <w:tcW w:w="2353" w:type="dxa"/>
          </w:tcPr>
          <w:p w14:paraId="4A6278EC" w14:textId="55FF5F70"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610</w:t>
            </w:r>
          </w:p>
        </w:tc>
        <w:tc>
          <w:tcPr>
            <w:tcW w:w="2957" w:type="dxa"/>
          </w:tcPr>
          <w:p w14:paraId="3EC5D472" w14:textId="62785286"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1681h</w:t>
            </w:r>
          </w:p>
        </w:tc>
        <w:tc>
          <w:tcPr>
            <w:tcW w:w="1260" w:type="dxa"/>
          </w:tcPr>
          <w:p w14:paraId="4673E3AB" w14:textId="77777777" w:rsidR="00A16AC3" w:rsidRDefault="00A16AC3" w:rsidP="00171C36">
            <w:pPr>
              <w:rPr>
                <w:rFonts w:ascii="Verdana" w:eastAsia="Tahoma" w:hAnsi="Verdana" w:cs="Tahoma"/>
                <w:color w:val="000000"/>
                <w:sz w:val="18"/>
                <w:szCs w:val="18"/>
              </w:rPr>
            </w:pPr>
          </w:p>
        </w:tc>
        <w:tc>
          <w:tcPr>
            <w:tcW w:w="2160" w:type="dxa"/>
          </w:tcPr>
          <w:p w14:paraId="66F1F12F" w14:textId="466D9315"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625</w:t>
            </w:r>
          </w:p>
        </w:tc>
        <w:tc>
          <w:tcPr>
            <w:tcW w:w="2430" w:type="dxa"/>
          </w:tcPr>
          <w:p w14:paraId="6ABE7EA6" w14:textId="2D9A23CD"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1681u</w:t>
            </w:r>
          </w:p>
        </w:tc>
      </w:tr>
      <w:tr w:rsidR="00A16AC3" w14:paraId="46A90B83" w14:textId="77777777" w:rsidTr="00A16AC3">
        <w:tc>
          <w:tcPr>
            <w:tcW w:w="2353" w:type="dxa"/>
          </w:tcPr>
          <w:p w14:paraId="6C13B3E0" w14:textId="595B1A34"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w:t>
            </w:r>
            <w:r>
              <w:rPr>
                <w:rFonts w:ascii="Verdana" w:eastAsia="Tahoma" w:hAnsi="Verdana" w:cs="Tahoma"/>
                <w:color w:val="000000"/>
                <w:sz w:val="18"/>
                <w:szCs w:val="18"/>
              </w:rPr>
              <w:t>1</w:t>
            </w:r>
          </w:p>
        </w:tc>
        <w:tc>
          <w:tcPr>
            <w:tcW w:w="2957" w:type="dxa"/>
          </w:tcPr>
          <w:p w14:paraId="4AE87C1B" w14:textId="18389B16"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1681i</w:t>
            </w:r>
          </w:p>
        </w:tc>
        <w:tc>
          <w:tcPr>
            <w:tcW w:w="1260" w:type="dxa"/>
          </w:tcPr>
          <w:p w14:paraId="53EDE8A8" w14:textId="77777777" w:rsidR="00A16AC3" w:rsidRDefault="00A16AC3" w:rsidP="00171C36">
            <w:pPr>
              <w:rPr>
                <w:rFonts w:ascii="Verdana" w:eastAsia="Tahoma" w:hAnsi="Verdana" w:cs="Tahoma"/>
                <w:color w:val="000000"/>
                <w:sz w:val="18"/>
                <w:szCs w:val="18"/>
              </w:rPr>
            </w:pPr>
          </w:p>
        </w:tc>
        <w:tc>
          <w:tcPr>
            <w:tcW w:w="2160" w:type="dxa"/>
          </w:tcPr>
          <w:p w14:paraId="69034E7E" w14:textId="351DB6BA"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626</w:t>
            </w:r>
          </w:p>
        </w:tc>
        <w:tc>
          <w:tcPr>
            <w:tcW w:w="2430" w:type="dxa"/>
          </w:tcPr>
          <w:p w14:paraId="3EE73355" w14:textId="710CF474"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1681v</w:t>
            </w:r>
          </w:p>
        </w:tc>
      </w:tr>
      <w:tr w:rsidR="00A16AC3" w14:paraId="04E456DA" w14:textId="77777777" w:rsidTr="00A16AC3">
        <w:tc>
          <w:tcPr>
            <w:tcW w:w="2353" w:type="dxa"/>
          </w:tcPr>
          <w:p w14:paraId="366209AF" w14:textId="2E99B254"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612</w:t>
            </w:r>
          </w:p>
        </w:tc>
        <w:tc>
          <w:tcPr>
            <w:tcW w:w="2957" w:type="dxa"/>
          </w:tcPr>
          <w:p w14:paraId="6A1A412F" w14:textId="675DC7FB"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1681j</w:t>
            </w:r>
          </w:p>
        </w:tc>
        <w:tc>
          <w:tcPr>
            <w:tcW w:w="1260" w:type="dxa"/>
          </w:tcPr>
          <w:p w14:paraId="0C439446" w14:textId="77777777" w:rsidR="00A16AC3" w:rsidRDefault="00A16AC3" w:rsidP="00171C36">
            <w:pPr>
              <w:rPr>
                <w:rFonts w:ascii="Verdana" w:eastAsia="Tahoma" w:hAnsi="Verdana" w:cs="Tahoma"/>
                <w:color w:val="000000"/>
                <w:sz w:val="18"/>
                <w:szCs w:val="18"/>
              </w:rPr>
            </w:pPr>
          </w:p>
        </w:tc>
        <w:tc>
          <w:tcPr>
            <w:tcW w:w="2160" w:type="dxa"/>
          </w:tcPr>
          <w:p w14:paraId="179BFFFF" w14:textId="0D1F0FD3"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627</w:t>
            </w:r>
          </w:p>
        </w:tc>
        <w:tc>
          <w:tcPr>
            <w:tcW w:w="2430" w:type="dxa"/>
          </w:tcPr>
          <w:p w14:paraId="56B8A6D0" w14:textId="79F5BE5B"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1681w</w:t>
            </w:r>
          </w:p>
        </w:tc>
      </w:tr>
      <w:tr w:rsidR="00A16AC3" w14:paraId="6301ED21" w14:textId="77777777" w:rsidTr="00A16AC3">
        <w:tc>
          <w:tcPr>
            <w:tcW w:w="2353" w:type="dxa"/>
          </w:tcPr>
          <w:p w14:paraId="3023445B" w14:textId="0C2E23CC"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613</w:t>
            </w:r>
          </w:p>
        </w:tc>
        <w:tc>
          <w:tcPr>
            <w:tcW w:w="2957" w:type="dxa"/>
          </w:tcPr>
          <w:p w14:paraId="54022A27" w14:textId="243AEBE1"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1681k</w:t>
            </w:r>
          </w:p>
        </w:tc>
        <w:tc>
          <w:tcPr>
            <w:tcW w:w="1260" w:type="dxa"/>
          </w:tcPr>
          <w:p w14:paraId="721804DD" w14:textId="77777777" w:rsidR="00A16AC3" w:rsidRDefault="00A16AC3" w:rsidP="00171C36">
            <w:pPr>
              <w:rPr>
                <w:rFonts w:ascii="Verdana" w:eastAsia="Tahoma" w:hAnsi="Verdana" w:cs="Tahoma"/>
                <w:color w:val="000000"/>
                <w:sz w:val="18"/>
                <w:szCs w:val="18"/>
              </w:rPr>
            </w:pPr>
          </w:p>
        </w:tc>
        <w:tc>
          <w:tcPr>
            <w:tcW w:w="2160" w:type="dxa"/>
          </w:tcPr>
          <w:p w14:paraId="1E7F854D" w14:textId="02534960"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628</w:t>
            </w:r>
          </w:p>
        </w:tc>
        <w:tc>
          <w:tcPr>
            <w:tcW w:w="2430" w:type="dxa"/>
          </w:tcPr>
          <w:p w14:paraId="1D29ADEC" w14:textId="3E7654C7"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1681x</w:t>
            </w:r>
          </w:p>
        </w:tc>
      </w:tr>
      <w:tr w:rsidR="00A16AC3" w14:paraId="57D05266" w14:textId="77777777" w:rsidTr="00A16AC3">
        <w:tc>
          <w:tcPr>
            <w:tcW w:w="2353" w:type="dxa"/>
          </w:tcPr>
          <w:p w14:paraId="5B860D8B" w14:textId="02A54509"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614</w:t>
            </w:r>
          </w:p>
        </w:tc>
        <w:tc>
          <w:tcPr>
            <w:tcW w:w="2957" w:type="dxa"/>
          </w:tcPr>
          <w:p w14:paraId="40C265D6" w14:textId="7BA14F1E"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1681l</w:t>
            </w:r>
          </w:p>
        </w:tc>
        <w:tc>
          <w:tcPr>
            <w:tcW w:w="1260" w:type="dxa"/>
          </w:tcPr>
          <w:p w14:paraId="7CC9A27F" w14:textId="77777777" w:rsidR="00A16AC3" w:rsidRDefault="00A16AC3" w:rsidP="00171C36">
            <w:pPr>
              <w:rPr>
                <w:rFonts w:ascii="Verdana" w:eastAsia="Tahoma" w:hAnsi="Verdana" w:cs="Tahoma"/>
                <w:color w:val="000000"/>
                <w:sz w:val="18"/>
                <w:szCs w:val="18"/>
              </w:rPr>
            </w:pPr>
          </w:p>
        </w:tc>
        <w:tc>
          <w:tcPr>
            <w:tcW w:w="2160" w:type="dxa"/>
          </w:tcPr>
          <w:p w14:paraId="5E6BE795" w14:textId="3D246D8E"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Section 629</w:t>
            </w:r>
          </w:p>
        </w:tc>
        <w:tc>
          <w:tcPr>
            <w:tcW w:w="2430" w:type="dxa"/>
          </w:tcPr>
          <w:p w14:paraId="6CA02C4C" w14:textId="398BC0F2" w:rsidR="00A16AC3" w:rsidRDefault="00A16AC3" w:rsidP="00171C36">
            <w:pPr>
              <w:rPr>
                <w:rFonts w:ascii="Verdana" w:eastAsia="Tahoma" w:hAnsi="Verdana" w:cs="Tahoma"/>
                <w:color w:val="000000"/>
                <w:sz w:val="18"/>
                <w:szCs w:val="18"/>
              </w:rPr>
            </w:pPr>
            <w:r w:rsidRPr="00946F9C">
              <w:rPr>
                <w:rFonts w:ascii="Verdana" w:eastAsia="Tahoma" w:hAnsi="Verdana" w:cs="Tahoma"/>
                <w:color w:val="000000"/>
                <w:sz w:val="18"/>
                <w:szCs w:val="18"/>
              </w:rPr>
              <w:t>15 U.S.C. 1681y</w:t>
            </w:r>
          </w:p>
        </w:tc>
      </w:tr>
    </w:tbl>
    <w:p w14:paraId="1AD33E9D" w14:textId="109B6A84" w:rsidR="00171C36" w:rsidRDefault="00171C36" w:rsidP="00171C36">
      <w:pPr>
        <w:rPr>
          <w:rFonts w:ascii="Verdana" w:eastAsia="Tahoma" w:hAnsi="Verdana" w:cs="Tahoma"/>
          <w:b/>
          <w:bCs/>
          <w:color w:val="000000"/>
          <w:sz w:val="18"/>
          <w:szCs w:val="18"/>
        </w:rPr>
      </w:pPr>
    </w:p>
    <w:p w14:paraId="35520B84" w14:textId="27909E52" w:rsidR="00070CA3" w:rsidRDefault="00070CA3" w:rsidP="00171C36">
      <w:pPr>
        <w:rPr>
          <w:rFonts w:ascii="Verdana" w:eastAsia="Tahoma" w:hAnsi="Verdana" w:cs="Tahoma"/>
          <w:b/>
          <w:bCs/>
          <w:color w:val="000000"/>
          <w:sz w:val="18"/>
          <w:szCs w:val="18"/>
        </w:rPr>
      </w:pPr>
    </w:p>
    <w:p w14:paraId="721681AF" w14:textId="77777777" w:rsidR="00070CA3" w:rsidRPr="00070CA3" w:rsidRDefault="00070CA3" w:rsidP="00171C36">
      <w:pPr>
        <w:rPr>
          <w:rFonts w:ascii="Verdana" w:eastAsia="Tahoma" w:hAnsi="Verdana" w:cs="Tahoma"/>
          <w:b/>
          <w:bCs/>
          <w:color w:val="000000"/>
          <w:sz w:val="18"/>
          <w:szCs w:val="18"/>
        </w:rPr>
      </w:pPr>
    </w:p>
    <w:p w14:paraId="2332FD77" w14:textId="75E6B898" w:rsidR="00171C36" w:rsidRPr="00070CA3" w:rsidRDefault="00070CA3" w:rsidP="00070CA3">
      <w:pPr>
        <w:jc w:val="center"/>
        <w:rPr>
          <w:rFonts w:ascii="Verdana" w:eastAsia="Tahoma" w:hAnsi="Verdana" w:cs="Tahoma"/>
          <w:b/>
          <w:bCs/>
          <w:color w:val="000000"/>
          <w:sz w:val="18"/>
          <w:szCs w:val="18"/>
        </w:rPr>
      </w:pPr>
      <w:r w:rsidRPr="00070CA3">
        <w:rPr>
          <w:rFonts w:ascii="Verdana" w:eastAsia="Tahoma" w:hAnsi="Verdana" w:cs="Tahoma"/>
          <w:b/>
          <w:bCs/>
          <w:color w:val="000000"/>
          <w:sz w:val="18"/>
          <w:szCs w:val="18"/>
        </w:rPr>
        <w:t xml:space="preserve">THE REMAINDER OF THIS PAGE IS INTENTIONALLY </w:t>
      </w:r>
      <w:r>
        <w:rPr>
          <w:rFonts w:ascii="Verdana" w:eastAsia="Tahoma" w:hAnsi="Verdana" w:cs="Tahoma"/>
          <w:b/>
          <w:bCs/>
          <w:color w:val="000000"/>
          <w:sz w:val="18"/>
          <w:szCs w:val="18"/>
        </w:rPr>
        <w:t xml:space="preserve">LEFT </w:t>
      </w:r>
      <w:r w:rsidRPr="00070CA3">
        <w:rPr>
          <w:rFonts w:ascii="Verdana" w:eastAsia="Tahoma" w:hAnsi="Verdana" w:cs="Tahoma"/>
          <w:b/>
          <w:bCs/>
          <w:color w:val="000000"/>
          <w:sz w:val="18"/>
          <w:szCs w:val="18"/>
        </w:rPr>
        <w:t>BLANK</w:t>
      </w:r>
    </w:p>
    <w:p w14:paraId="3E58ABAB" w14:textId="77777777" w:rsidR="00171C36" w:rsidRPr="00171C36" w:rsidRDefault="00171C36" w:rsidP="00171C36"/>
    <w:p w14:paraId="45CA2ECC" w14:textId="36217B15" w:rsidR="001F597D" w:rsidRDefault="001F597D" w:rsidP="000A5282">
      <w:pPr>
        <w:spacing w:after="160" w:line="259" w:lineRule="auto"/>
        <w:rPr>
          <w:rFonts w:ascii="Verdana" w:hAnsi="Verdana"/>
          <w:sz w:val="18"/>
          <w:szCs w:val="18"/>
        </w:rPr>
      </w:pPr>
    </w:p>
    <w:sectPr w:rsidR="001F597D" w:rsidSect="0073063C">
      <w:headerReference w:type="default" r:id="rId33"/>
      <w:footerReference w:type="default" r:id="rId3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8740" w14:textId="77777777" w:rsidR="00AE195C" w:rsidRDefault="00AE195C" w:rsidP="00716234">
      <w:r>
        <w:separator/>
      </w:r>
    </w:p>
  </w:endnote>
  <w:endnote w:type="continuationSeparator" w:id="0">
    <w:p w14:paraId="1111F2BF" w14:textId="77777777" w:rsidR="00AE195C" w:rsidRDefault="00AE195C" w:rsidP="007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Genev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2935"/>
      <w:docPartObj>
        <w:docPartGallery w:val="Page Numbers (Bottom of Page)"/>
        <w:docPartUnique/>
      </w:docPartObj>
    </w:sdtPr>
    <w:sdtEndPr>
      <w:rPr>
        <w:rFonts w:ascii="Verdana" w:hAnsi="Verdana"/>
        <w:noProof/>
        <w:sz w:val="18"/>
        <w:szCs w:val="18"/>
      </w:rPr>
    </w:sdtEndPr>
    <w:sdtContent>
      <w:p w14:paraId="7A224189" w14:textId="5D412685" w:rsidR="0073063C" w:rsidRPr="0073063C" w:rsidRDefault="0073063C" w:rsidP="0073063C">
        <w:pPr>
          <w:pStyle w:val="Footer"/>
          <w:jc w:val="center"/>
          <w:rPr>
            <w:rFonts w:ascii="Verdana" w:hAnsi="Verdana"/>
            <w:sz w:val="18"/>
            <w:szCs w:val="18"/>
          </w:rPr>
        </w:pPr>
        <w:r w:rsidRPr="0073063C">
          <w:rPr>
            <w:rFonts w:ascii="Verdana" w:hAnsi="Verdana"/>
            <w:sz w:val="18"/>
            <w:szCs w:val="18"/>
          </w:rPr>
          <w:fldChar w:fldCharType="begin"/>
        </w:r>
        <w:r w:rsidRPr="0073063C">
          <w:rPr>
            <w:rFonts w:ascii="Verdana" w:hAnsi="Verdana"/>
            <w:sz w:val="18"/>
            <w:szCs w:val="18"/>
          </w:rPr>
          <w:instrText xml:space="preserve"> PAGE   \* MERGEFORMAT </w:instrText>
        </w:r>
        <w:r w:rsidRPr="0073063C">
          <w:rPr>
            <w:rFonts w:ascii="Verdana" w:hAnsi="Verdana"/>
            <w:sz w:val="18"/>
            <w:szCs w:val="18"/>
          </w:rPr>
          <w:fldChar w:fldCharType="separate"/>
        </w:r>
        <w:r w:rsidRPr="0073063C">
          <w:rPr>
            <w:rFonts w:ascii="Verdana" w:hAnsi="Verdana"/>
            <w:noProof/>
            <w:sz w:val="18"/>
            <w:szCs w:val="18"/>
          </w:rPr>
          <w:t>2</w:t>
        </w:r>
        <w:r w:rsidRPr="0073063C">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7FFF" w14:textId="77777777" w:rsidR="00AE195C" w:rsidRDefault="00AE195C" w:rsidP="00716234">
      <w:r>
        <w:separator/>
      </w:r>
    </w:p>
  </w:footnote>
  <w:footnote w:type="continuationSeparator" w:id="0">
    <w:p w14:paraId="6FF1E343" w14:textId="77777777" w:rsidR="00AE195C" w:rsidRDefault="00AE195C" w:rsidP="0071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323" w14:textId="4B365172" w:rsidR="00CA6E79" w:rsidRPr="00716234" w:rsidRDefault="00AE195C">
    <w:pPr>
      <w:pStyle w:val="Header"/>
      <w:rPr>
        <w:rFonts w:ascii="Verdana" w:hAnsi="Verdana"/>
        <w:b/>
        <w:bCs/>
        <w:sz w:val="18"/>
        <w:szCs w:val="18"/>
      </w:rPr>
    </w:pPr>
    <w:sdt>
      <w:sdtPr>
        <w:id w:val="-71436836"/>
        <w:docPartObj>
          <w:docPartGallery w:val="Watermarks"/>
          <w:docPartUnique/>
        </w:docPartObj>
      </w:sdtPr>
      <w:sdtEndPr/>
      <w:sdtContent>
        <w:r>
          <w:rPr>
            <w:noProof/>
          </w:rPr>
          <w:pict w14:anchorId="3BDDA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6E79">
      <w:ptab w:relativeTo="margin" w:alignment="center" w:leader="none"/>
    </w:r>
    <w:r w:rsidR="00CA6E79" w:rsidRPr="00716234">
      <w:rPr>
        <w:rFonts w:ascii="Verdana" w:hAnsi="Verdana"/>
        <w:sz w:val="18"/>
        <w:szCs w:val="18"/>
      </w:rPr>
      <w:ptab w:relativeTo="margin" w:alignment="right" w:leader="none"/>
    </w:r>
    <w:r w:rsidR="00CA6E79">
      <w:rPr>
        <w:rFonts w:ascii="Verdana" w:hAnsi="Verdana"/>
        <w:b/>
        <w:bCs/>
        <w:sz w:val="18"/>
        <w:szCs w:val="18"/>
      </w:rPr>
      <w:t>Exhibit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51pt;height:69pt;visibility:visible;mso-wrap-style:square" o:bullet="t">
        <v:imagedata r:id="rId1" o:title=""/>
      </v:shape>
    </w:pict>
  </w:numPicBullet>
  <w:abstractNum w:abstractNumId="0" w15:restartNumberingAfterBreak="0">
    <w:nsid w:val="049D23B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 w15:restartNumberingAfterBreak="0">
    <w:nsid w:val="09775453"/>
    <w:multiLevelType w:val="hybridMultilevel"/>
    <w:tmpl w:val="053E5D94"/>
    <w:lvl w:ilvl="0" w:tplc="A4F039F0">
      <w:start w:val="1"/>
      <w:numFmt w:val="lowerLetter"/>
      <w:lvlText w:val="(%1)"/>
      <w:lvlJc w:val="left"/>
      <w:pPr>
        <w:ind w:left="1356" w:hanging="9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CF2"/>
    <w:multiLevelType w:val="hybridMultilevel"/>
    <w:tmpl w:val="92207B28"/>
    <w:lvl w:ilvl="0" w:tplc="400EE8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1AAE"/>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4" w15:restartNumberingAfterBreak="0">
    <w:nsid w:val="16FD23E8"/>
    <w:multiLevelType w:val="hybridMultilevel"/>
    <w:tmpl w:val="8B80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E02FA"/>
    <w:multiLevelType w:val="hybridMultilevel"/>
    <w:tmpl w:val="B45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7762"/>
    <w:multiLevelType w:val="hybridMultilevel"/>
    <w:tmpl w:val="5B123D86"/>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582E"/>
    <w:multiLevelType w:val="hybridMultilevel"/>
    <w:tmpl w:val="5090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5881"/>
    <w:multiLevelType w:val="multilevel"/>
    <w:tmpl w:val="19D8F3C8"/>
    <w:lvl w:ilvl="0">
      <w:start w:val="1"/>
      <w:numFmt w:val="bullet"/>
      <w:lvlText w:val="●"/>
      <w:lvlJc w:val="left"/>
      <w:pPr>
        <w:ind w:left="958" w:hanging="360"/>
      </w:pPr>
      <w:rPr>
        <w:rFonts w:ascii="Noto Sans Symbols" w:eastAsia="Noto Sans Symbols" w:hAnsi="Noto Sans Symbols" w:cs="Noto Sans Symbols"/>
        <w:sz w:val="18"/>
        <w:szCs w:val="18"/>
      </w:rPr>
    </w:lvl>
    <w:lvl w:ilvl="1">
      <w:start w:val="1"/>
      <w:numFmt w:val="lowerLetter"/>
      <w:lvlText w:val="(%2)"/>
      <w:lvlJc w:val="left"/>
      <w:pPr>
        <w:ind w:left="959" w:hanging="902"/>
      </w:pPr>
      <w:rPr>
        <w:rFonts w:ascii="Verdana" w:eastAsia="Verdana" w:hAnsi="Verdana" w:cs="Verdana"/>
        <w:sz w:val="18"/>
        <w:szCs w:val="18"/>
      </w:rPr>
    </w:lvl>
    <w:lvl w:ilvl="2">
      <w:start w:val="1"/>
      <w:numFmt w:val="bullet"/>
      <w:lvlText w:val="•"/>
      <w:lvlJc w:val="left"/>
      <w:pPr>
        <w:ind w:left="3000" w:hanging="902"/>
      </w:pPr>
    </w:lvl>
    <w:lvl w:ilvl="3">
      <w:start w:val="1"/>
      <w:numFmt w:val="bullet"/>
      <w:lvlText w:val="•"/>
      <w:lvlJc w:val="left"/>
      <w:pPr>
        <w:ind w:left="4020" w:hanging="902"/>
      </w:pPr>
    </w:lvl>
    <w:lvl w:ilvl="4">
      <w:start w:val="1"/>
      <w:numFmt w:val="bullet"/>
      <w:lvlText w:val="•"/>
      <w:lvlJc w:val="left"/>
      <w:pPr>
        <w:ind w:left="5040" w:hanging="902"/>
      </w:pPr>
    </w:lvl>
    <w:lvl w:ilvl="5">
      <w:start w:val="1"/>
      <w:numFmt w:val="bullet"/>
      <w:lvlText w:val="•"/>
      <w:lvlJc w:val="left"/>
      <w:pPr>
        <w:ind w:left="6060" w:hanging="902"/>
      </w:pPr>
    </w:lvl>
    <w:lvl w:ilvl="6">
      <w:start w:val="1"/>
      <w:numFmt w:val="bullet"/>
      <w:lvlText w:val="•"/>
      <w:lvlJc w:val="left"/>
      <w:pPr>
        <w:ind w:left="7080" w:hanging="902"/>
      </w:pPr>
    </w:lvl>
    <w:lvl w:ilvl="7">
      <w:start w:val="1"/>
      <w:numFmt w:val="bullet"/>
      <w:lvlText w:val="•"/>
      <w:lvlJc w:val="left"/>
      <w:pPr>
        <w:ind w:left="8100" w:hanging="902"/>
      </w:pPr>
    </w:lvl>
    <w:lvl w:ilvl="8">
      <w:start w:val="1"/>
      <w:numFmt w:val="bullet"/>
      <w:lvlText w:val="•"/>
      <w:lvlJc w:val="left"/>
      <w:pPr>
        <w:ind w:left="9120" w:hanging="902"/>
      </w:pPr>
    </w:lvl>
  </w:abstractNum>
  <w:abstractNum w:abstractNumId="9" w15:restartNumberingAfterBreak="0">
    <w:nsid w:val="268905EB"/>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0" w15:restartNumberingAfterBreak="0">
    <w:nsid w:val="274A09D1"/>
    <w:multiLevelType w:val="hybridMultilevel"/>
    <w:tmpl w:val="6FEE8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A76E8A"/>
    <w:multiLevelType w:val="multilevel"/>
    <w:tmpl w:val="F2E84058"/>
    <w:lvl w:ilvl="0">
      <w:start w:val="1"/>
      <w:numFmt w:val="lowerLetter"/>
      <w:lvlText w:val="(%1)"/>
      <w:lvlJc w:val="left"/>
      <w:pPr>
        <w:ind w:left="960" w:hanging="900"/>
      </w:pPr>
      <w:rPr>
        <w:rFonts w:ascii="Verdana" w:eastAsia="Verdana" w:hAnsi="Verdana" w:cs="Verdana"/>
        <w:sz w:val="18"/>
        <w:szCs w:val="18"/>
      </w:rPr>
    </w:lvl>
    <w:lvl w:ilvl="1">
      <w:start w:val="1"/>
      <w:numFmt w:val="bullet"/>
      <w:lvlText w:val="•"/>
      <w:lvlJc w:val="left"/>
      <w:pPr>
        <w:ind w:left="1980" w:hanging="900"/>
      </w:pPr>
    </w:lvl>
    <w:lvl w:ilvl="2">
      <w:start w:val="1"/>
      <w:numFmt w:val="bullet"/>
      <w:lvlText w:val="•"/>
      <w:lvlJc w:val="left"/>
      <w:pPr>
        <w:ind w:left="3000" w:hanging="900"/>
      </w:pPr>
    </w:lvl>
    <w:lvl w:ilvl="3">
      <w:start w:val="1"/>
      <w:numFmt w:val="bullet"/>
      <w:lvlText w:val="•"/>
      <w:lvlJc w:val="left"/>
      <w:pPr>
        <w:ind w:left="4020" w:hanging="900"/>
      </w:pPr>
    </w:lvl>
    <w:lvl w:ilvl="4">
      <w:start w:val="1"/>
      <w:numFmt w:val="bullet"/>
      <w:lvlText w:val="•"/>
      <w:lvlJc w:val="left"/>
      <w:pPr>
        <w:ind w:left="5040" w:hanging="900"/>
      </w:pPr>
    </w:lvl>
    <w:lvl w:ilvl="5">
      <w:start w:val="1"/>
      <w:numFmt w:val="bullet"/>
      <w:lvlText w:val="•"/>
      <w:lvlJc w:val="left"/>
      <w:pPr>
        <w:ind w:left="6060" w:hanging="900"/>
      </w:pPr>
    </w:lvl>
    <w:lvl w:ilvl="6">
      <w:start w:val="1"/>
      <w:numFmt w:val="bullet"/>
      <w:lvlText w:val="•"/>
      <w:lvlJc w:val="left"/>
      <w:pPr>
        <w:ind w:left="7080" w:hanging="900"/>
      </w:pPr>
    </w:lvl>
    <w:lvl w:ilvl="7">
      <w:start w:val="1"/>
      <w:numFmt w:val="bullet"/>
      <w:lvlText w:val="•"/>
      <w:lvlJc w:val="left"/>
      <w:pPr>
        <w:ind w:left="8100" w:hanging="900"/>
      </w:pPr>
    </w:lvl>
    <w:lvl w:ilvl="8">
      <w:start w:val="1"/>
      <w:numFmt w:val="bullet"/>
      <w:lvlText w:val="•"/>
      <w:lvlJc w:val="left"/>
      <w:pPr>
        <w:ind w:left="9120" w:hanging="900"/>
      </w:pPr>
    </w:lvl>
  </w:abstractNum>
  <w:abstractNum w:abstractNumId="12" w15:restartNumberingAfterBreak="0">
    <w:nsid w:val="2EC0280D"/>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3" w15:restartNumberingAfterBreak="0">
    <w:nsid w:val="31A0096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4" w15:restartNumberingAfterBreak="0">
    <w:nsid w:val="38A25B20"/>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5" w15:restartNumberingAfterBreak="0">
    <w:nsid w:val="396E7396"/>
    <w:multiLevelType w:val="multilevel"/>
    <w:tmpl w:val="1DF49E26"/>
    <w:lvl w:ilvl="0">
      <w:start w:val="1"/>
      <w:numFmt w:val="upperLetter"/>
      <w:lvlText w:val="%1."/>
      <w:lvlJc w:val="left"/>
      <w:pPr>
        <w:ind w:left="1190" w:hanging="231"/>
      </w:pPr>
      <w:rPr>
        <w:rFonts w:ascii="Tahoma" w:eastAsia="Tahoma" w:hAnsi="Tahoma" w:cs="Tahoma" w:hint="default"/>
        <w:b/>
        <w:sz w:val="18"/>
        <w:szCs w:val="18"/>
      </w:rPr>
    </w:lvl>
    <w:lvl w:ilvl="1">
      <w:start w:val="1"/>
      <w:numFmt w:val="bullet"/>
      <w:lvlText w:val="•"/>
      <w:lvlJc w:val="left"/>
      <w:pPr>
        <w:ind w:left="1680" w:hanging="137"/>
      </w:pPr>
      <w:rPr>
        <w:rFonts w:ascii="Tahoma" w:eastAsia="Tahoma" w:hAnsi="Tahoma" w:cs="Tahoma" w:hint="default"/>
        <w:sz w:val="18"/>
        <w:szCs w:val="18"/>
      </w:rPr>
    </w:lvl>
    <w:lvl w:ilvl="2">
      <w:start w:val="1"/>
      <w:numFmt w:val="bullet"/>
      <w:lvlText w:val="•"/>
      <w:lvlJc w:val="left"/>
      <w:pPr>
        <w:ind w:left="2733" w:hanging="137"/>
      </w:pPr>
      <w:rPr>
        <w:rFonts w:hint="default"/>
      </w:rPr>
    </w:lvl>
    <w:lvl w:ilvl="3">
      <w:start w:val="1"/>
      <w:numFmt w:val="bullet"/>
      <w:lvlText w:val="•"/>
      <w:lvlJc w:val="left"/>
      <w:pPr>
        <w:ind w:left="3786" w:hanging="136"/>
      </w:pPr>
      <w:rPr>
        <w:rFonts w:hint="default"/>
      </w:rPr>
    </w:lvl>
    <w:lvl w:ilvl="4">
      <w:start w:val="1"/>
      <w:numFmt w:val="bullet"/>
      <w:lvlText w:val="•"/>
      <w:lvlJc w:val="left"/>
      <w:pPr>
        <w:ind w:left="4840" w:hanging="137"/>
      </w:pPr>
      <w:rPr>
        <w:rFonts w:hint="default"/>
      </w:rPr>
    </w:lvl>
    <w:lvl w:ilvl="5">
      <w:start w:val="1"/>
      <w:numFmt w:val="bullet"/>
      <w:lvlText w:val="•"/>
      <w:lvlJc w:val="left"/>
      <w:pPr>
        <w:ind w:left="5893" w:hanging="137"/>
      </w:pPr>
      <w:rPr>
        <w:rFonts w:hint="default"/>
      </w:rPr>
    </w:lvl>
    <w:lvl w:ilvl="6">
      <w:start w:val="1"/>
      <w:numFmt w:val="bullet"/>
      <w:lvlText w:val="•"/>
      <w:lvlJc w:val="left"/>
      <w:pPr>
        <w:ind w:left="6946" w:hanging="137"/>
      </w:pPr>
      <w:rPr>
        <w:rFonts w:hint="default"/>
      </w:rPr>
    </w:lvl>
    <w:lvl w:ilvl="7">
      <w:start w:val="1"/>
      <w:numFmt w:val="bullet"/>
      <w:lvlText w:val="•"/>
      <w:lvlJc w:val="left"/>
      <w:pPr>
        <w:ind w:left="8000" w:hanging="137"/>
      </w:pPr>
      <w:rPr>
        <w:rFonts w:hint="default"/>
      </w:rPr>
    </w:lvl>
    <w:lvl w:ilvl="8">
      <w:start w:val="1"/>
      <w:numFmt w:val="bullet"/>
      <w:lvlText w:val="•"/>
      <w:lvlJc w:val="left"/>
      <w:pPr>
        <w:ind w:left="9053" w:hanging="137"/>
      </w:pPr>
      <w:rPr>
        <w:rFonts w:hint="default"/>
      </w:rPr>
    </w:lvl>
  </w:abstractNum>
  <w:abstractNum w:abstractNumId="16"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8D8"/>
    <w:multiLevelType w:val="hybridMultilevel"/>
    <w:tmpl w:val="388A76BA"/>
    <w:lvl w:ilvl="0" w:tplc="509AA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500F"/>
    <w:multiLevelType w:val="multilevel"/>
    <w:tmpl w:val="06C86BEA"/>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9" w15:restartNumberingAfterBreak="0">
    <w:nsid w:val="4D545173"/>
    <w:multiLevelType w:val="hybridMultilevel"/>
    <w:tmpl w:val="AEEA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46820"/>
    <w:multiLevelType w:val="hybridMultilevel"/>
    <w:tmpl w:val="22EC1732"/>
    <w:lvl w:ilvl="0" w:tplc="7A04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23408"/>
    <w:multiLevelType w:val="multilevel"/>
    <w:tmpl w:val="AEFA45F6"/>
    <w:lvl w:ilvl="0">
      <w:start w:val="1"/>
      <w:numFmt w:val="decimal"/>
      <w:lvlText w:val="%1."/>
      <w:lvlJc w:val="left"/>
      <w:pPr>
        <w:ind w:left="1543" w:hanging="224"/>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2" w15:restartNumberingAfterBreak="0">
    <w:nsid w:val="51AB5AE2"/>
    <w:multiLevelType w:val="hybridMultilevel"/>
    <w:tmpl w:val="A0A6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11B20"/>
    <w:multiLevelType w:val="hybridMultilevel"/>
    <w:tmpl w:val="B7E8E6A2"/>
    <w:lvl w:ilvl="0" w:tplc="E7322DA0">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96CE3"/>
    <w:multiLevelType w:val="multilevel"/>
    <w:tmpl w:val="42D44FE8"/>
    <w:lvl w:ilvl="0">
      <w:start w:val="4"/>
      <w:numFmt w:val="lowerLetter"/>
      <w:lvlText w:val="(%1)"/>
      <w:lvlJc w:val="left"/>
      <w:pPr>
        <w:ind w:left="959" w:hanging="842"/>
      </w:pPr>
      <w:rPr>
        <w:rFonts w:ascii="Verdana" w:eastAsia="Verdana" w:hAnsi="Verdana" w:cs="Verdana"/>
        <w:sz w:val="18"/>
        <w:szCs w:val="18"/>
      </w:rPr>
    </w:lvl>
    <w:lvl w:ilvl="1">
      <w:start w:val="1"/>
      <w:numFmt w:val="bullet"/>
      <w:lvlText w:val="•"/>
      <w:lvlJc w:val="left"/>
      <w:pPr>
        <w:ind w:left="1980" w:hanging="842"/>
      </w:pPr>
    </w:lvl>
    <w:lvl w:ilvl="2">
      <w:start w:val="1"/>
      <w:numFmt w:val="bullet"/>
      <w:lvlText w:val="•"/>
      <w:lvlJc w:val="left"/>
      <w:pPr>
        <w:ind w:left="3000" w:hanging="842"/>
      </w:pPr>
    </w:lvl>
    <w:lvl w:ilvl="3">
      <w:start w:val="1"/>
      <w:numFmt w:val="bullet"/>
      <w:lvlText w:val="•"/>
      <w:lvlJc w:val="left"/>
      <w:pPr>
        <w:ind w:left="4020" w:hanging="842"/>
      </w:pPr>
    </w:lvl>
    <w:lvl w:ilvl="4">
      <w:start w:val="1"/>
      <w:numFmt w:val="bullet"/>
      <w:lvlText w:val="•"/>
      <w:lvlJc w:val="left"/>
      <w:pPr>
        <w:ind w:left="5040" w:hanging="842"/>
      </w:pPr>
    </w:lvl>
    <w:lvl w:ilvl="5">
      <w:start w:val="1"/>
      <w:numFmt w:val="bullet"/>
      <w:lvlText w:val="•"/>
      <w:lvlJc w:val="left"/>
      <w:pPr>
        <w:ind w:left="6060" w:hanging="842"/>
      </w:pPr>
    </w:lvl>
    <w:lvl w:ilvl="6">
      <w:start w:val="1"/>
      <w:numFmt w:val="bullet"/>
      <w:lvlText w:val="•"/>
      <w:lvlJc w:val="left"/>
      <w:pPr>
        <w:ind w:left="7080" w:hanging="842"/>
      </w:pPr>
    </w:lvl>
    <w:lvl w:ilvl="7">
      <w:start w:val="1"/>
      <w:numFmt w:val="bullet"/>
      <w:lvlText w:val="•"/>
      <w:lvlJc w:val="left"/>
      <w:pPr>
        <w:ind w:left="8100" w:hanging="842"/>
      </w:pPr>
    </w:lvl>
    <w:lvl w:ilvl="8">
      <w:start w:val="1"/>
      <w:numFmt w:val="bullet"/>
      <w:lvlText w:val="•"/>
      <w:lvlJc w:val="left"/>
      <w:pPr>
        <w:ind w:left="9120" w:hanging="842"/>
      </w:pPr>
    </w:lvl>
  </w:abstractNum>
  <w:abstractNum w:abstractNumId="26" w15:restartNumberingAfterBreak="0">
    <w:nsid w:val="70303FED"/>
    <w:multiLevelType w:val="multilevel"/>
    <w:tmpl w:val="21E21BA0"/>
    <w:lvl w:ilvl="0">
      <w:start w:val="1"/>
      <w:numFmt w:val="upperRoman"/>
      <w:pStyle w:val="Heading2"/>
      <w:lvlText w:val="%1."/>
      <w:lvlJc w:val="left"/>
      <w:pPr>
        <w:ind w:left="1154" w:hanging="195"/>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7" w15:restartNumberingAfterBreak="0">
    <w:nsid w:val="710E035E"/>
    <w:multiLevelType w:val="hybridMultilevel"/>
    <w:tmpl w:val="312A73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64B4A"/>
    <w:multiLevelType w:val="hybridMultilevel"/>
    <w:tmpl w:val="CE041DEC"/>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A5191"/>
    <w:multiLevelType w:val="multilevel"/>
    <w:tmpl w:val="E4E83A08"/>
    <w:lvl w:ilvl="0">
      <w:start w:val="1"/>
      <w:numFmt w:val="decimal"/>
      <w:lvlText w:val="(%1)"/>
      <w:lvlJc w:val="left"/>
      <w:pPr>
        <w:ind w:left="1973" w:hanging="293"/>
      </w:pPr>
      <w:rPr>
        <w:rFonts w:ascii="Tahoma" w:eastAsia="Tahoma" w:hAnsi="Tahoma" w:cs="Tahoma"/>
        <w:sz w:val="18"/>
        <w:szCs w:val="18"/>
      </w:rPr>
    </w:lvl>
    <w:lvl w:ilvl="1">
      <w:start w:val="1"/>
      <w:numFmt w:val="bullet"/>
      <w:lvlText w:val="•"/>
      <w:lvlJc w:val="left"/>
      <w:pPr>
        <w:ind w:left="2898" w:hanging="293"/>
      </w:pPr>
    </w:lvl>
    <w:lvl w:ilvl="2">
      <w:start w:val="1"/>
      <w:numFmt w:val="bullet"/>
      <w:lvlText w:val="•"/>
      <w:lvlJc w:val="left"/>
      <w:pPr>
        <w:ind w:left="3816" w:hanging="293"/>
      </w:pPr>
    </w:lvl>
    <w:lvl w:ilvl="3">
      <w:start w:val="1"/>
      <w:numFmt w:val="bullet"/>
      <w:lvlText w:val="•"/>
      <w:lvlJc w:val="left"/>
      <w:pPr>
        <w:ind w:left="4734" w:hanging="293"/>
      </w:pPr>
    </w:lvl>
    <w:lvl w:ilvl="4">
      <w:start w:val="1"/>
      <w:numFmt w:val="bullet"/>
      <w:lvlText w:val="•"/>
      <w:lvlJc w:val="left"/>
      <w:pPr>
        <w:ind w:left="5652" w:hanging="292"/>
      </w:pPr>
    </w:lvl>
    <w:lvl w:ilvl="5">
      <w:start w:val="1"/>
      <w:numFmt w:val="bullet"/>
      <w:lvlText w:val="•"/>
      <w:lvlJc w:val="left"/>
      <w:pPr>
        <w:ind w:left="6570" w:hanging="293"/>
      </w:pPr>
    </w:lvl>
    <w:lvl w:ilvl="6">
      <w:start w:val="1"/>
      <w:numFmt w:val="bullet"/>
      <w:lvlText w:val="•"/>
      <w:lvlJc w:val="left"/>
      <w:pPr>
        <w:ind w:left="7488" w:hanging="293"/>
      </w:pPr>
    </w:lvl>
    <w:lvl w:ilvl="7">
      <w:start w:val="1"/>
      <w:numFmt w:val="bullet"/>
      <w:lvlText w:val="•"/>
      <w:lvlJc w:val="left"/>
      <w:pPr>
        <w:ind w:left="8406" w:hanging="292"/>
      </w:pPr>
    </w:lvl>
    <w:lvl w:ilvl="8">
      <w:start w:val="1"/>
      <w:numFmt w:val="bullet"/>
      <w:lvlText w:val="•"/>
      <w:lvlJc w:val="left"/>
      <w:pPr>
        <w:ind w:left="9324" w:hanging="293"/>
      </w:pPr>
    </w:lvl>
  </w:abstractNum>
  <w:abstractNum w:abstractNumId="30" w15:restartNumberingAfterBreak="0">
    <w:nsid w:val="747E43FF"/>
    <w:multiLevelType w:val="multilevel"/>
    <w:tmpl w:val="94EC9996"/>
    <w:lvl w:ilvl="0">
      <w:start w:val="6"/>
      <w:numFmt w:val="lowerRoman"/>
      <w:lvlText w:val="(%1)"/>
      <w:lvlJc w:val="left"/>
      <w:pPr>
        <w:ind w:left="1337" w:hanging="378"/>
      </w:pPr>
      <w:rPr>
        <w:rFonts w:ascii="Verdana" w:eastAsia="Verdana" w:hAnsi="Verdana" w:cs="Verdana"/>
        <w:sz w:val="18"/>
        <w:szCs w:val="18"/>
      </w:rPr>
    </w:lvl>
    <w:lvl w:ilvl="1">
      <w:start w:val="1"/>
      <w:numFmt w:val="bullet"/>
      <w:lvlText w:val="●"/>
      <w:lvlJc w:val="left"/>
      <w:pPr>
        <w:ind w:left="2039" w:hanging="360"/>
      </w:pPr>
      <w:rPr>
        <w:rFonts w:ascii="Noto Sans Symbols" w:eastAsia="Noto Sans Symbols" w:hAnsi="Noto Sans Symbols" w:cs="Noto Sans Symbols"/>
        <w:sz w:val="22"/>
        <w:szCs w:val="22"/>
      </w:rPr>
    </w:lvl>
    <w:lvl w:ilvl="2">
      <w:start w:val="1"/>
      <w:numFmt w:val="bullet"/>
      <w:lvlText w:val="•"/>
      <w:lvlJc w:val="left"/>
      <w:pPr>
        <w:ind w:left="3053" w:hanging="360"/>
      </w:pPr>
    </w:lvl>
    <w:lvl w:ilvl="3">
      <w:start w:val="1"/>
      <w:numFmt w:val="bullet"/>
      <w:lvlText w:val="•"/>
      <w:lvlJc w:val="left"/>
      <w:pPr>
        <w:ind w:left="4066" w:hanging="360"/>
      </w:pPr>
    </w:lvl>
    <w:lvl w:ilvl="4">
      <w:start w:val="1"/>
      <w:numFmt w:val="bullet"/>
      <w:lvlText w:val="•"/>
      <w:lvlJc w:val="left"/>
      <w:pPr>
        <w:ind w:left="5080" w:hanging="360"/>
      </w:pPr>
    </w:lvl>
    <w:lvl w:ilvl="5">
      <w:start w:val="1"/>
      <w:numFmt w:val="bullet"/>
      <w:lvlText w:val="•"/>
      <w:lvlJc w:val="left"/>
      <w:pPr>
        <w:ind w:left="6093" w:hanging="360"/>
      </w:pPr>
    </w:lvl>
    <w:lvl w:ilvl="6">
      <w:start w:val="1"/>
      <w:numFmt w:val="bullet"/>
      <w:lvlText w:val="•"/>
      <w:lvlJc w:val="left"/>
      <w:pPr>
        <w:ind w:left="7106" w:hanging="360"/>
      </w:pPr>
    </w:lvl>
    <w:lvl w:ilvl="7">
      <w:start w:val="1"/>
      <w:numFmt w:val="bullet"/>
      <w:lvlText w:val="•"/>
      <w:lvlJc w:val="left"/>
      <w:pPr>
        <w:ind w:left="8120" w:hanging="360"/>
      </w:pPr>
    </w:lvl>
    <w:lvl w:ilvl="8">
      <w:start w:val="1"/>
      <w:numFmt w:val="bullet"/>
      <w:lvlText w:val="•"/>
      <w:lvlJc w:val="left"/>
      <w:pPr>
        <w:ind w:left="9133" w:hanging="360"/>
      </w:pPr>
    </w:lvl>
  </w:abstractNum>
  <w:abstractNum w:abstractNumId="31" w15:restartNumberingAfterBreak="0">
    <w:nsid w:val="75742885"/>
    <w:multiLevelType w:val="hybridMultilevel"/>
    <w:tmpl w:val="B6D6D006"/>
    <w:lvl w:ilvl="0" w:tplc="3CB0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56511"/>
    <w:multiLevelType w:val="multilevel"/>
    <w:tmpl w:val="C6F2AF1A"/>
    <w:lvl w:ilvl="0">
      <w:start w:val="1"/>
      <w:numFmt w:val="upperLetter"/>
      <w:lvlText w:val="%1."/>
      <w:lvlJc w:val="left"/>
      <w:pPr>
        <w:ind w:left="1190" w:hanging="231"/>
      </w:pPr>
      <w:rPr>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33" w15:restartNumberingAfterBreak="0">
    <w:nsid w:val="7C732C9B"/>
    <w:multiLevelType w:val="multilevel"/>
    <w:tmpl w:val="D71E5AEA"/>
    <w:lvl w:ilvl="0">
      <w:start w:val="4"/>
      <w:numFmt w:val="lowerRoman"/>
      <w:lvlText w:val="(%1)"/>
      <w:lvlJc w:val="left"/>
      <w:pPr>
        <w:ind w:left="958" w:hanging="392"/>
      </w:pPr>
      <w:rPr>
        <w:rFonts w:ascii="Verdana" w:eastAsia="Verdana" w:hAnsi="Verdana" w:cs="Verdana"/>
        <w:sz w:val="18"/>
        <w:szCs w:val="18"/>
      </w:rPr>
    </w:lvl>
    <w:lvl w:ilvl="1">
      <w:start w:val="1"/>
      <w:numFmt w:val="lowerLetter"/>
      <w:lvlText w:val="(%2)"/>
      <w:lvlJc w:val="left"/>
      <w:pPr>
        <w:ind w:left="959" w:hanging="720"/>
      </w:pPr>
      <w:rPr>
        <w:rFonts w:ascii="Verdana" w:eastAsia="Verdana" w:hAnsi="Verdana" w:cs="Verdana"/>
        <w:sz w:val="18"/>
        <w:szCs w:val="18"/>
      </w:rPr>
    </w:lvl>
    <w:lvl w:ilvl="2">
      <w:start w:val="1"/>
      <w:numFmt w:val="bullet"/>
      <w:lvlText w:val="•"/>
      <w:lvlJc w:val="left"/>
      <w:pPr>
        <w:ind w:left="3000" w:hanging="720"/>
      </w:pPr>
    </w:lvl>
    <w:lvl w:ilvl="3">
      <w:start w:val="1"/>
      <w:numFmt w:val="bullet"/>
      <w:lvlText w:val="•"/>
      <w:lvlJc w:val="left"/>
      <w:pPr>
        <w:ind w:left="4020" w:hanging="720"/>
      </w:pPr>
    </w:lvl>
    <w:lvl w:ilvl="4">
      <w:start w:val="1"/>
      <w:numFmt w:val="bullet"/>
      <w:lvlText w:val="•"/>
      <w:lvlJc w:val="left"/>
      <w:pPr>
        <w:ind w:left="5040" w:hanging="720"/>
      </w:pPr>
    </w:lvl>
    <w:lvl w:ilvl="5">
      <w:start w:val="1"/>
      <w:numFmt w:val="bullet"/>
      <w:lvlText w:val="•"/>
      <w:lvlJc w:val="left"/>
      <w:pPr>
        <w:ind w:left="6060" w:hanging="720"/>
      </w:pPr>
    </w:lvl>
    <w:lvl w:ilvl="6">
      <w:start w:val="1"/>
      <w:numFmt w:val="bullet"/>
      <w:lvlText w:val="•"/>
      <w:lvlJc w:val="left"/>
      <w:pPr>
        <w:ind w:left="7080" w:hanging="720"/>
      </w:pPr>
    </w:lvl>
    <w:lvl w:ilvl="7">
      <w:start w:val="1"/>
      <w:numFmt w:val="bullet"/>
      <w:lvlText w:val="•"/>
      <w:lvlJc w:val="left"/>
      <w:pPr>
        <w:ind w:left="8100" w:hanging="720"/>
      </w:pPr>
    </w:lvl>
    <w:lvl w:ilvl="8">
      <w:start w:val="1"/>
      <w:numFmt w:val="bullet"/>
      <w:lvlText w:val="•"/>
      <w:lvlJc w:val="left"/>
      <w:pPr>
        <w:ind w:left="9120" w:hanging="720"/>
      </w:pPr>
    </w:lvl>
  </w:abstractNum>
  <w:num w:numId="1">
    <w:abstractNumId w:val="30"/>
  </w:num>
  <w:num w:numId="2">
    <w:abstractNumId w:val="8"/>
  </w:num>
  <w:num w:numId="3">
    <w:abstractNumId w:val="21"/>
  </w:num>
  <w:num w:numId="4">
    <w:abstractNumId w:val="15"/>
  </w:num>
  <w:num w:numId="5">
    <w:abstractNumId w:val="26"/>
  </w:num>
  <w:num w:numId="6">
    <w:abstractNumId w:val="29"/>
  </w:num>
  <w:num w:numId="7">
    <w:abstractNumId w:val="18"/>
  </w:num>
  <w:num w:numId="8">
    <w:abstractNumId w:val="14"/>
  </w:num>
  <w:num w:numId="9">
    <w:abstractNumId w:val="12"/>
  </w:num>
  <w:num w:numId="10">
    <w:abstractNumId w:val="3"/>
  </w:num>
  <w:num w:numId="11">
    <w:abstractNumId w:val="32"/>
  </w:num>
  <w:num w:numId="12">
    <w:abstractNumId w:val="2"/>
  </w:num>
  <w:num w:numId="13">
    <w:abstractNumId w:val="27"/>
  </w:num>
  <w:num w:numId="14">
    <w:abstractNumId w:val="22"/>
  </w:num>
  <w:num w:numId="15">
    <w:abstractNumId w:val="19"/>
  </w:num>
  <w:num w:numId="16">
    <w:abstractNumId w:val="5"/>
  </w:num>
  <w:num w:numId="17">
    <w:abstractNumId w:val="10"/>
  </w:num>
  <w:num w:numId="18">
    <w:abstractNumId w:val="4"/>
  </w:num>
  <w:num w:numId="19">
    <w:abstractNumId w:val="9"/>
  </w:num>
  <w:num w:numId="20">
    <w:abstractNumId w:val="0"/>
  </w:num>
  <w:num w:numId="21">
    <w:abstractNumId w:val="24"/>
  </w:num>
  <w:num w:numId="22">
    <w:abstractNumId w:val="16"/>
  </w:num>
  <w:num w:numId="23">
    <w:abstractNumId w:val="13"/>
  </w:num>
  <w:num w:numId="24">
    <w:abstractNumId w:val="1"/>
  </w:num>
  <w:num w:numId="25">
    <w:abstractNumId w:val="7"/>
  </w:num>
  <w:num w:numId="26">
    <w:abstractNumId w:val="28"/>
  </w:num>
  <w:num w:numId="27">
    <w:abstractNumId w:val="6"/>
  </w:num>
  <w:num w:numId="28">
    <w:abstractNumId w:val="23"/>
  </w:num>
  <w:num w:numId="29">
    <w:abstractNumId w:val="11"/>
  </w:num>
  <w:num w:numId="30">
    <w:abstractNumId w:val="33"/>
  </w:num>
  <w:num w:numId="31">
    <w:abstractNumId w:val="25"/>
  </w:num>
  <w:num w:numId="32">
    <w:abstractNumId w:val="3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34"/>
    <w:rsid w:val="0006580D"/>
    <w:rsid w:val="00070CA3"/>
    <w:rsid w:val="000A5282"/>
    <w:rsid w:val="00171C36"/>
    <w:rsid w:val="001D1094"/>
    <w:rsid w:val="001F597D"/>
    <w:rsid w:val="00234CC5"/>
    <w:rsid w:val="00254174"/>
    <w:rsid w:val="0026445F"/>
    <w:rsid w:val="002A5A72"/>
    <w:rsid w:val="002F04F8"/>
    <w:rsid w:val="003173F1"/>
    <w:rsid w:val="00322679"/>
    <w:rsid w:val="003232F0"/>
    <w:rsid w:val="00333CF6"/>
    <w:rsid w:val="00350450"/>
    <w:rsid w:val="00372932"/>
    <w:rsid w:val="003F4C74"/>
    <w:rsid w:val="00466525"/>
    <w:rsid w:val="004D7F75"/>
    <w:rsid w:val="00537E0F"/>
    <w:rsid w:val="005A6D55"/>
    <w:rsid w:val="005B0309"/>
    <w:rsid w:val="005E4273"/>
    <w:rsid w:val="00602845"/>
    <w:rsid w:val="00604185"/>
    <w:rsid w:val="006413C9"/>
    <w:rsid w:val="00653156"/>
    <w:rsid w:val="00656D76"/>
    <w:rsid w:val="00677568"/>
    <w:rsid w:val="0068781C"/>
    <w:rsid w:val="006C3678"/>
    <w:rsid w:val="007023E4"/>
    <w:rsid w:val="00716234"/>
    <w:rsid w:val="007200A0"/>
    <w:rsid w:val="00724239"/>
    <w:rsid w:val="0073063C"/>
    <w:rsid w:val="007327C0"/>
    <w:rsid w:val="007339E2"/>
    <w:rsid w:val="00785D88"/>
    <w:rsid w:val="007C5DD8"/>
    <w:rsid w:val="0086424F"/>
    <w:rsid w:val="008661EC"/>
    <w:rsid w:val="00872802"/>
    <w:rsid w:val="008D26A7"/>
    <w:rsid w:val="009267BE"/>
    <w:rsid w:val="00937651"/>
    <w:rsid w:val="00946F9C"/>
    <w:rsid w:val="00965AB9"/>
    <w:rsid w:val="00980FAC"/>
    <w:rsid w:val="009E4C39"/>
    <w:rsid w:val="009E5473"/>
    <w:rsid w:val="00A16AC3"/>
    <w:rsid w:val="00A23A3A"/>
    <w:rsid w:val="00A64DA1"/>
    <w:rsid w:val="00AC503F"/>
    <w:rsid w:val="00AD5EFD"/>
    <w:rsid w:val="00AE195C"/>
    <w:rsid w:val="00AF1AB4"/>
    <w:rsid w:val="00B13112"/>
    <w:rsid w:val="00B45C04"/>
    <w:rsid w:val="00B925A9"/>
    <w:rsid w:val="00BB2C0E"/>
    <w:rsid w:val="00CA6E79"/>
    <w:rsid w:val="00D26375"/>
    <w:rsid w:val="00D30B39"/>
    <w:rsid w:val="00D47DAC"/>
    <w:rsid w:val="00D74B77"/>
    <w:rsid w:val="00D911FD"/>
    <w:rsid w:val="00DB7E38"/>
    <w:rsid w:val="00ED7F66"/>
    <w:rsid w:val="00EE1929"/>
    <w:rsid w:val="00F43126"/>
    <w:rsid w:val="00F50118"/>
    <w:rsid w:val="00F51E9A"/>
    <w:rsid w:val="00F82AB8"/>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D8B2"/>
  <w15:chartTrackingRefBased/>
  <w15:docId w15:val="{CBB968C3-8A9D-4B4D-844B-0D3366F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5D88"/>
    <w:pPr>
      <w:widowControl w:val="0"/>
      <w:ind w:left="119"/>
      <w:jc w:val="center"/>
      <w:outlineLvl w:val="0"/>
    </w:pPr>
    <w:rPr>
      <w:b/>
      <w:bCs/>
    </w:rPr>
  </w:style>
  <w:style w:type="paragraph" w:styleId="Heading2">
    <w:name w:val="heading 2"/>
    <w:basedOn w:val="Normal"/>
    <w:next w:val="Normal"/>
    <w:link w:val="Heading2Char"/>
    <w:autoRedefine/>
    <w:uiPriority w:val="9"/>
    <w:unhideWhenUsed/>
    <w:qFormat/>
    <w:rsid w:val="0026445F"/>
    <w:pPr>
      <w:keepNext/>
      <w:keepLines/>
      <w:numPr>
        <w:numId w:val="5"/>
      </w:numPr>
      <w:tabs>
        <w:tab w:val="left" w:pos="900"/>
      </w:tabs>
      <w:spacing w:before="40"/>
      <w:ind w:left="720" w:hanging="720"/>
      <w:outlineLvl w:val="1"/>
    </w:pPr>
    <w:rPr>
      <w:rFonts w:ascii="Verdana" w:eastAsia="Tahoma" w:hAnsi="Verdana"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34"/>
    <w:pPr>
      <w:tabs>
        <w:tab w:val="center" w:pos="4680"/>
        <w:tab w:val="right" w:pos="9360"/>
      </w:tabs>
    </w:pPr>
  </w:style>
  <w:style w:type="character" w:customStyle="1" w:styleId="HeaderChar">
    <w:name w:val="Header Char"/>
    <w:basedOn w:val="DefaultParagraphFont"/>
    <w:link w:val="Header"/>
    <w:uiPriority w:val="99"/>
    <w:rsid w:val="00716234"/>
  </w:style>
  <w:style w:type="paragraph" w:styleId="Footer">
    <w:name w:val="footer"/>
    <w:basedOn w:val="Normal"/>
    <w:link w:val="FooterChar"/>
    <w:uiPriority w:val="99"/>
    <w:unhideWhenUsed/>
    <w:rsid w:val="00716234"/>
    <w:pPr>
      <w:tabs>
        <w:tab w:val="center" w:pos="4680"/>
        <w:tab w:val="right" w:pos="9360"/>
      </w:tabs>
    </w:pPr>
  </w:style>
  <w:style w:type="character" w:customStyle="1" w:styleId="FooterChar">
    <w:name w:val="Footer Char"/>
    <w:basedOn w:val="DefaultParagraphFont"/>
    <w:link w:val="Footer"/>
    <w:uiPriority w:val="99"/>
    <w:rsid w:val="00716234"/>
  </w:style>
  <w:style w:type="character" w:styleId="Hyperlink">
    <w:name w:val="Hyperlink"/>
    <w:basedOn w:val="DefaultParagraphFont"/>
    <w:uiPriority w:val="99"/>
    <w:unhideWhenUsed/>
    <w:rsid w:val="0068781C"/>
    <w:rPr>
      <w:color w:val="0563C1" w:themeColor="hyperlink"/>
      <w:u w:val="single"/>
    </w:rPr>
  </w:style>
  <w:style w:type="character" w:styleId="UnresolvedMention">
    <w:name w:val="Unresolved Mention"/>
    <w:basedOn w:val="DefaultParagraphFont"/>
    <w:uiPriority w:val="99"/>
    <w:semiHidden/>
    <w:unhideWhenUsed/>
    <w:rsid w:val="0068781C"/>
    <w:rPr>
      <w:color w:val="605E5C"/>
      <w:shd w:val="clear" w:color="auto" w:fill="E1DFDD"/>
    </w:rPr>
  </w:style>
  <w:style w:type="character" w:customStyle="1" w:styleId="Heading1Char">
    <w:name w:val="Heading 1 Char"/>
    <w:basedOn w:val="DefaultParagraphFont"/>
    <w:link w:val="Heading1"/>
    <w:uiPriority w:val="9"/>
    <w:rsid w:val="00785D88"/>
    <w:rPr>
      <w:rFonts w:ascii="Times New Roman" w:eastAsia="Times New Roman" w:hAnsi="Times New Roman" w:cs="Times New Roman"/>
      <w:b/>
      <w:bCs/>
    </w:rPr>
  </w:style>
  <w:style w:type="paragraph" w:styleId="ListParagraph">
    <w:name w:val="List Paragraph"/>
    <w:basedOn w:val="Normal"/>
    <w:link w:val="ListParagraphChar"/>
    <w:uiPriority w:val="34"/>
    <w:qFormat/>
    <w:rsid w:val="009E5473"/>
    <w:pPr>
      <w:ind w:left="720"/>
      <w:contextualSpacing/>
    </w:pPr>
  </w:style>
  <w:style w:type="character" w:customStyle="1" w:styleId="Heading2Char">
    <w:name w:val="Heading 2 Char"/>
    <w:basedOn w:val="DefaultParagraphFont"/>
    <w:link w:val="Heading2"/>
    <w:uiPriority w:val="9"/>
    <w:rsid w:val="0026445F"/>
    <w:rPr>
      <w:rFonts w:ascii="Verdana" w:eastAsia="Tahoma" w:hAnsi="Verdana" w:cstheme="majorBidi"/>
      <w:b/>
      <w:bCs/>
      <w:sz w:val="18"/>
      <w:szCs w:val="18"/>
    </w:rPr>
  </w:style>
  <w:style w:type="table" w:styleId="TableGrid">
    <w:name w:val="Table Grid"/>
    <w:basedOn w:val="TableNormal"/>
    <w:uiPriority w:val="59"/>
    <w:rsid w:val="0017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 Char Char"/>
    <w:basedOn w:val="DefaultParagraphFont"/>
    <w:link w:val="BodyText"/>
    <w:locked/>
    <w:rsid w:val="00A23A3A"/>
    <w:rPr>
      <w:rFonts w:ascii="Times New Roman" w:hAnsi="Times New Roman" w:cs="Times New Roman"/>
      <w:sz w:val="24"/>
      <w:szCs w:val="24"/>
    </w:rPr>
  </w:style>
  <w:style w:type="paragraph" w:styleId="BodyText">
    <w:name w:val="Body Text"/>
    <w:aliases w:val="Body Text Char Char"/>
    <w:basedOn w:val="Normal"/>
    <w:link w:val="BodyTextChar"/>
    <w:unhideWhenUsed/>
    <w:rsid w:val="00A23A3A"/>
    <w:pPr>
      <w:spacing w:after="240"/>
      <w:jc w:val="both"/>
    </w:pPr>
  </w:style>
  <w:style w:type="character" w:customStyle="1" w:styleId="BodyTextChar1">
    <w:name w:val="Body Text Char1"/>
    <w:basedOn w:val="DefaultParagraphFont"/>
    <w:uiPriority w:val="99"/>
    <w:semiHidden/>
    <w:rsid w:val="00A23A3A"/>
  </w:style>
  <w:style w:type="character" w:customStyle="1" w:styleId="DocumentTitleChar">
    <w:name w:val="Document Title Char"/>
    <w:basedOn w:val="DefaultParagraphFont"/>
    <w:link w:val="DocumentTitle"/>
    <w:locked/>
    <w:rsid w:val="00A23A3A"/>
    <w:rPr>
      <w:rFonts w:ascii="Times New Roman" w:hAnsi="Times New Roman" w:cs="Times New Roman"/>
      <w:b/>
      <w:sz w:val="24"/>
      <w:szCs w:val="24"/>
      <w:u w:val="single"/>
    </w:rPr>
  </w:style>
  <w:style w:type="paragraph" w:customStyle="1" w:styleId="DocumentTitle">
    <w:name w:val="Document Title"/>
    <w:basedOn w:val="Normal"/>
    <w:link w:val="DocumentTitleChar"/>
    <w:qFormat/>
    <w:rsid w:val="00A23A3A"/>
    <w:pPr>
      <w:spacing w:after="480"/>
      <w:jc w:val="center"/>
    </w:pPr>
    <w:rPr>
      <w:b/>
      <w:u w:val="single"/>
    </w:rPr>
  </w:style>
  <w:style w:type="paragraph" w:styleId="Quote">
    <w:name w:val="Quote"/>
    <w:basedOn w:val="Normal"/>
    <w:next w:val="Normal"/>
    <w:link w:val="QuoteChar"/>
    <w:qFormat/>
    <w:rsid w:val="00A23A3A"/>
    <w:pPr>
      <w:spacing w:after="240"/>
      <w:ind w:left="1440" w:right="1440"/>
      <w:jc w:val="both"/>
    </w:pPr>
    <w:rPr>
      <w:szCs w:val="20"/>
    </w:rPr>
  </w:style>
  <w:style w:type="character" w:customStyle="1" w:styleId="QuoteChar">
    <w:name w:val="Quote Char"/>
    <w:basedOn w:val="DefaultParagraphFont"/>
    <w:link w:val="Quote"/>
    <w:rsid w:val="00A23A3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F1AB4"/>
    <w:pPr>
      <w:spacing w:after="120" w:line="480" w:lineRule="auto"/>
    </w:pPr>
  </w:style>
  <w:style w:type="character" w:customStyle="1" w:styleId="BodyText2Char">
    <w:name w:val="Body Text 2 Char"/>
    <w:basedOn w:val="DefaultParagraphFont"/>
    <w:link w:val="BodyText2"/>
    <w:uiPriority w:val="99"/>
    <w:semiHidden/>
    <w:rsid w:val="00AF1AB4"/>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413C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2AB8"/>
    <w:rPr>
      <w:sz w:val="20"/>
      <w:szCs w:val="20"/>
    </w:rPr>
  </w:style>
  <w:style w:type="character" w:customStyle="1" w:styleId="FootnoteTextChar">
    <w:name w:val="Footnote Text Char"/>
    <w:basedOn w:val="DefaultParagraphFont"/>
    <w:link w:val="FootnoteText"/>
    <w:uiPriority w:val="99"/>
    <w:semiHidden/>
    <w:rsid w:val="00F82A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2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723">
      <w:bodyDiv w:val="1"/>
      <w:marLeft w:val="0"/>
      <w:marRight w:val="0"/>
      <w:marTop w:val="0"/>
      <w:marBottom w:val="0"/>
      <w:divBdr>
        <w:top w:val="none" w:sz="0" w:space="0" w:color="auto"/>
        <w:left w:val="none" w:sz="0" w:space="0" w:color="auto"/>
        <w:bottom w:val="none" w:sz="0" w:space="0" w:color="auto"/>
        <w:right w:val="none" w:sz="0" w:space="0" w:color="auto"/>
      </w:divBdr>
    </w:div>
    <w:div w:id="483739355">
      <w:bodyDiv w:val="1"/>
      <w:marLeft w:val="0"/>
      <w:marRight w:val="0"/>
      <w:marTop w:val="0"/>
      <w:marBottom w:val="0"/>
      <w:divBdr>
        <w:top w:val="none" w:sz="0" w:space="0" w:color="auto"/>
        <w:left w:val="none" w:sz="0" w:space="0" w:color="auto"/>
        <w:bottom w:val="none" w:sz="0" w:space="0" w:color="auto"/>
        <w:right w:val="none" w:sz="0" w:space="0" w:color="auto"/>
      </w:divBdr>
    </w:div>
    <w:div w:id="625743272">
      <w:bodyDiv w:val="1"/>
      <w:marLeft w:val="0"/>
      <w:marRight w:val="0"/>
      <w:marTop w:val="0"/>
      <w:marBottom w:val="0"/>
      <w:divBdr>
        <w:top w:val="none" w:sz="0" w:space="0" w:color="auto"/>
        <w:left w:val="none" w:sz="0" w:space="0" w:color="auto"/>
        <w:bottom w:val="none" w:sz="0" w:space="0" w:color="auto"/>
        <w:right w:val="none" w:sz="0" w:space="0" w:color="auto"/>
      </w:divBdr>
    </w:div>
    <w:div w:id="789010506">
      <w:bodyDiv w:val="1"/>
      <w:marLeft w:val="0"/>
      <w:marRight w:val="0"/>
      <w:marTop w:val="0"/>
      <w:marBottom w:val="0"/>
      <w:divBdr>
        <w:top w:val="none" w:sz="0" w:space="0" w:color="auto"/>
        <w:left w:val="none" w:sz="0" w:space="0" w:color="auto"/>
        <w:bottom w:val="none" w:sz="0" w:space="0" w:color="auto"/>
        <w:right w:val="none" w:sz="0" w:space="0" w:color="auto"/>
      </w:divBdr>
    </w:div>
    <w:div w:id="14577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25" Type="http://schemas.openxmlformats.org/officeDocument/2006/relationships/hyperlink" Target="http://www.consumerfinance.gov/learnmore" TargetMode="External"/><Relationship Id="rId3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www.consumerfinance.gov/learnmore" TargetMode="External"/><Relationship Id="rId5" Type="http://schemas.openxmlformats.org/officeDocument/2006/relationships/webSettings" Target="webSettings.xml"/><Relationship Id="rId28" Type="http://schemas.openxmlformats.org/officeDocument/2006/relationships/hyperlink" Target="http://www.consumerfinance.gov/learnmore" TargetMode="External"/><Relationship Id="rId36" Type="http://schemas.openxmlformats.org/officeDocument/2006/relationships/theme" Target="theme/theme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hyperlink" Target="http://www.consumerfinance.gov/learnmor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A684-2E9C-4BF2-8B1F-9A0CFA0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2802</Words>
  <Characters>17014</Characters>
  <Application>Microsoft Office Word</Application>
  <DocSecurity>0</DocSecurity>
  <Lines>472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Iketani</dc:creator>
  <cp:keywords/>
  <dc:description/>
  <cp:lastModifiedBy>Diana Iorlano</cp:lastModifiedBy>
  <cp:revision>3</cp:revision>
  <dcterms:created xsi:type="dcterms:W3CDTF">2022-03-18T06:34:00Z</dcterms:created>
  <dcterms:modified xsi:type="dcterms:W3CDTF">2022-03-18T06:46:00Z</dcterms:modified>
</cp:coreProperties>
</file>